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24DCE" w14:textId="77777777" w:rsidR="00CC781C" w:rsidRDefault="00640A51">
      <w:pPr>
        <w:pStyle w:val="Titre"/>
        <w:pBdr>
          <w:bottom w:val="single" w:sz="12" w:space="9" w:color="B2A1C7"/>
        </w:pBdr>
        <w:spacing w:before="0" w:after="0"/>
        <w:rPr>
          <w:rFonts w:ascii="Cambria" w:eastAsia="Cambria" w:hAnsi="Cambria" w:cs="Cambria"/>
          <w:b/>
        </w:rPr>
      </w:pPr>
      <w:r w:rsidRPr="00640A51">
        <w:rPr>
          <w:rFonts w:ascii="Cambria" w:eastAsia="Cambria" w:hAnsi="Cambria" w:cs="Cambria"/>
          <w:b/>
          <w:noProof/>
          <w:sz w:val="40"/>
          <w:szCs w:val="40"/>
        </w:rPr>
        <w:drawing>
          <wp:anchor distT="0" distB="0" distL="114300" distR="114300" simplePos="0" relativeHeight="251658240" behindDoc="1" locked="0" layoutInCell="1" allowOverlap="1" wp14:anchorId="58B71953" wp14:editId="40B968C9">
            <wp:simplePos x="0" y="0"/>
            <wp:positionH relativeFrom="column">
              <wp:posOffset>1832610</wp:posOffset>
            </wp:positionH>
            <wp:positionV relativeFrom="paragraph">
              <wp:posOffset>546100</wp:posOffset>
            </wp:positionV>
            <wp:extent cx="2811780" cy="1340617"/>
            <wp:effectExtent l="0" t="0" r="762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t="23708" b="28562"/>
                    <a:stretch/>
                  </pic:blipFill>
                  <pic:spPr bwMode="auto">
                    <a:xfrm>
                      <a:off x="0" y="0"/>
                      <a:ext cx="2811780" cy="13406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F7158">
        <w:rPr>
          <w:rFonts w:ascii="Cambria" w:eastAsia="Cambria" w:hAnsi="Cambria" w:cs="Cambria"/>
          <w:b/>
        </w:rPr>
        <w:t>Financements européens pertinents pour la transition écologique et énergétique dans le Grand Est</w:t>
      </w:r>
    </w:p>
    <w:p w14:paraId="3E9FB400" w14:textId="77777777" w:rsidR="00640A51" w:rsidRPr="00640A51" w:rsidRDefault="00640A51" w:rsidP="00640A51">
      <w:pPr>
        <w:rPr>
          <w:rFonts w:ascii="Times New Roman" w:eastAsia="Times New Roman" w:hAnsi="Times New Roman" w:cs="Times New Roman"/>
          <w:sz w:val="24"/>
          <w:szCs w:val="24"/>
        </w:rPr>
      </w:pPr>
    </w:p>
    <w:p w14:paraId="0FC92783" w14:textId="77777777" w:rsidR="00640A51" w:rsidRDefault="00640A51" w:rsidP="00640A51">
      <w:pPr>
        <w:spacing w:before="240"/>
        <w:rPr>
          <w:rFonts w:ascii="Cambria" w:eastAsia="Cambria" w:hAnsi="Cambria" w:cs="Cambria"/>
          <w:b/>
          <w:smallCaps/>
          <w:color w:val="403152"/>
          <w:sz w:val="40"/>
          <w:szCs w:val="40"/>
        </w:rPr>
      </w:pPr>
    </w:p>
    <w:p w14:paraId="32FD9951" w14:textId="19E49422" w:rsidR="00CC781C" w:rsidRDefault="00CC781C" w:rsidP="00640A51">
      <w:pPr>
        <w:spacing w:before="240"/>
        <w:rPr>
          <w:rFonts w:ascii="Cambria" w:eastAsia="Cambria" w:hAnsi="Cambria" w:cs="Cambria"/>
          <w:b/>
          <w:smallCaps/>
          <w:color w:val="403152"/>
          <w:sz w:val="40"/>
          <w:szCs w:val="40"/>
        </w:rPr>
      </w:pPr>
    </w:p>
    <w:p w14:paraId="7113A195" w14:textId="77777777" w:rsidR="00A17413" w:rsidRPr="00A17413" w:rsidRDefault="00A17413" w:rsidP="00640A51">
      <w:pPr>
        <w:spacing w:before="240"/>
        <w:rPr>
          <w:rFonts w:ascii="Cambria" w:eastAsia="Cambria" w:hAnsi="Cambria" w:cs="Cambria"/>
          <w:b/>
          <w:smallCaps/>
          <w:color w:val="403152"/>
          <w:sz w:val="2"/>
          <w:szCs w:val="2"/>
        </w:rPr>
      </w:pPr>
    </w:p>
    <w:tbl>
      <w:tblPr>
        <w:tblStyle w:val="Grilledutableau"/>
        <w:tblW w:w="11057"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2410"/>
        <w:gridCol w:w="1985"/>
        <w:gridCol w:w="3544"/>
        <w:gridCol w:w="3118"/>
      </w:tblGrid>
      <w:tr w:rsidR="00D25F7D" w:rsidRPr="002F3CAA" w14:paraId="67441436" w14:textId="77777777" w:rsidTr="00A17413">
        <w:trPr>
          <w:trHeight w:val="459"/>
        </w:trPr>
        <w:tc>
          <w:tcPr>
            <w:tcW w:w="2410" w:type="dxa"/>
            <w:shd w:val="clear" w:color="auto" w:fill="CCC0D9" w:themeFill="accent4" w:themeFillTint="66"/>
            <w:vAlign w:val="center"/>
          </w:tcPr>
          <w:p w14:paraId="12CB0C61" w14:textId="77777777" w:rsidR="00D25F7D" w:rsidRPr="002F3CAA" w:rsidRDefault="00D25F7D" w:rsidP="005A35F4">
            <w:pPr>
              <w:tabs>
                <w:tab w:val="left" w:pos="1307"/>
              </w:tabs>
              <w:jc w:val="center"/>
              <w:rPr>
                <w:b/>
                <w:bCs/>
              </w:rPr>
            </w:pPr>
            <w:r>
              <w:rPr>
                <w:b/>
                <w:bCs/>
              </w:rPr>
              <w:t>Typologie de projet</w:t>
            </w:r>
          </w:p>
        </w:tc>
        <w:tc>
          <w:tcPr>
            <w:tcW w:w="1985" w:type="dxa"/>
            <w:shd w:val="clear" w:color="auto" w:fill="CCC0D9" w:themeFill="accent4" w:themeFillTint="66"/>
            <w:vAlign w:val="center"/>
          </w:tcPr>
          <w:p w14:paraId="12A69844" w14:textId="77777777" w:rsidR="00D25F7D" w:rsidRDefault="00D25F7D" w:rsidP="005A35F4">
            <w:pPr>
              <w:tabs>
                <w:tab w:val="left" w:pos="1307"/>
              </w:tabs>
              <w:jc w:val="center"/>
              <w:rPr>
                <w:b/>
                <w:bCs/>
              </w:rPr>
            </w:pPr>
            <w:r w:rsidRPr="002F3CAA">
              <w:rPr>
                <w:b/>
                <w:bCs/>
              </w:rPr>
              <w:t>Forme de l’appui</w:t>
            </w:r>
          </w:p>
        </w:tc>
        <w:tc>
          <w:tcPr>
            <w:tcW w:w="3544" w:type="dxa"/>
            <w:shd w:val="clear" w:color="auto" w:fill="CCC0D9" w:themeFill="accent4" w:themeFillTint="66"/>
            <w:vAlign w:val="center"/>
          </w:tcPr>
          <w:p w14:paraId="66B142D8" w14:textId="5221336A" w:rsidR="00D25F7D" w:rsidRDefault="00D25F7D" w:rsidP="005A35F4">
            <w:pPr>
              <w:tabs>
                <w:tab w:val="left" w:pos="1307"/>
              </w:tabs>
              <w:jc w:val="center"/>
              <w:rPr>
                <w:b/>
                <w:bCs/>
              </w:rPr>
            </w:pPr>
            <w:r>
              <w:rPr>
                <w:b/>
                <w:bCs/>
              </w:rPr>
              <w:t>Conditions de financement</w:t>
            </w:r>
          </w:p>
        </w:tc>
        <w:tc>
          <w:tcPr>
            <w:tcW w:w="3118" w:type="dxa"/>
            <w:shd w:val="clear" w:color="auto" w:fill="CCC0D9" w:themeFill="accent4" w:themeFillTint="66"/>
            <w:vAlign w:val="center"/>
          </w:tcPr>
          <w:p w14:paraId="1C2C36EE" w14:textId="3F8183FC" w:rsidR="00D25F7D" w:rsidRPr="002F3CAA" w:rsidRDefault="00D25F7D" w:rsidP="005A35F4">
            <w:pPr>
              <w:tabs>
                <w:tab w:val="left" w:pos="1307"/>
              </w:tabs>
              <w:jc w:val="center"/>
              <w:rPr>
                <w:b/>
                <w:bCs/>
              </w:rPr>
            </w:pPr>
            <w:r>
              <w:rPr>
                <w:b/>
                <w:bCs/>
              </w:rPr>
              <w:t>Mode de candidature</w:t>
            </w:r>
          </w:p>
        </w:tc>
      </w:tr>
      <w:tr w:rsidR="00D25F7D" w14:paraId="03271645" w14:textId="77777777" w:rsidTr="00A17413">
        <w:trPr>
          <w:trHeight w:val="645"/>
        </w:trPr>
        <w:tc>
          <w:tcPr>
            <w:tcW w:w="2410" w:type="dxa"/>
            <w:shd w:val="clear" w:color="auto" w:fill="E5DFEC" w:themeFill="accent4" w:themeFillTint="33"/>
            <w:vAlign w:val="center"/>
          </w:tcPr>
          <w:p w14:paraId="39C84DF5" w14:textId="77777777" w:rsidR="00D25F7D" w:rsidRDefault="00D25F7D" w:rsidP="00825859">
            <w:pPr>
              <w:pStyle w:val="Paragraphedeliste"/>
              <w:numPr>
                <w:ilvl w:val="0"/>
                <w:numId w:val="31"/>
              </w:numPr>
              <w:tabs>
                <w:tab w:val="left" w:pos="1307"/>
              </w:tabs>
            </w:pPr>
            <w:r>
              <w:t>Projets ou programmes d’investissement</w:t>
            </w:r>
          </w:p>
          <w:p w14:paraId="546390E3" w14:textId="77777777" w:rsidR="00D25F7D" w:rsidRDefault="00D25F7D" w:rsidP="00825859">
            <w:pPr>
              <w:pStyle w:val="Paragraphedeliste"/>
              <w:numPr>
                <w:ilvl w:val="0"/>
                <w:numId w:val="31"/>
              </w:numPr>
              <w:tabs>
                <w:tab w:val="left" w:pos="1307"/>
              </w:tabs>
            </w:pPr>
            <w:r>
              <w:t>Démarches de recherche et d’innovation</w:t>
            </w:r>
          </w:p>
        </w:tc>
        <w:tc>
          <w:tcPr>
            <w:tcW w:w="1985" w:type="dxa"/>
            <w:shd w:val="clear" w:color="auto" w:fill="E5DFEC" w:themeFill="accent4" w:themeFillTint="33"/>
            <w:vAlign w:val="center"/>
          </w:tcPr>
          <w:p w14:paraId="0ABA28FD" w14:textId="77777777" w:rsidR="00D25F7D" w:rsidRDefault="00D25F7D" w:rsidP="00825859">
            <w:pPr>
              <w:pStyle w:val="Paragraphedeliste"/>
              <w:numPr>
                <w:ilvl w:val="0"/>
                <w:numId w:val="31"/>
              </w:numPr>
              <w:tabs>
                <w:tab w:val="left" w:pos="1307"/>
              </w:tabs>
            </w:pPr>
            <w:r>
              <w:t>Prêts</w:t>
            </w:r>
          </w:p>
          <w:p w14:paraId="22C32131" w14:textId="77777777" w:rsidR="00D25F7D" w:rsidRDefault="00D25F7D" w:rsidP="00825859">
            <w:pPr>
              <w:pStyle w:val="Paragraphedeliste"/>
              <w:numPr>
                <w:ilvl w:val="0"/>
                <w:numId w:val="31"/>
              </w:numPr>
              <w:tabs>
                <w:tab w:val="left" w:pos="1307"/>
              </w:tabs>
            </w:pPr>
            <w:r>
              <w:t>Garanties</w:t>
            </w:r>
          </w:p>
          <w:p w14:paraId="32DD1FE1" w14:textId="77777777" w:rsidR="00D25F7D" w:rsidRDefault="00D25F7D" w:rsidP="00825859">
            <w:pPr>
              <w:pStyle w:val="Paragraphedeliste"/>
              <w:numPr>
                <w:ilvl w:val="0"/>
                <w:numId w:val="31"/>
              </w:numPr>
              <w:tabs>
                <w:tab w:val="left" w:pos="1307"/>
              </w:tabs>
            </w:pPr>
            <w:r>
              <w:t>Apports en capital</w:t>
            </w:r>
          </w:p>
          <w:p w14:paraId="681CD4BA" w14:textId="77777777" w:rsidR="00D25F7D" w:rsidRDefault="00D25F7D" w:rsidP="00825859">
            <w:pPr>
              <w:pStyle w:val="Paragraphedeliste"/>
              <w:numPr>
                <w:ilvl w:val="0"/>
                <w:numId w:val="31"/>
              </w:numPr>
              <w:tabs>
                <w:tab w:val="left" w:pos="1307"/>
              </w:tabs>
            </w:pPr>
            <w:r>
              <w:t>Conseils et assistance technique</w:t>
            </w:r>
          </w:p>
        </w:tc>
        <w:tc>
          <w:tcPr>
            <w:tcW w:w="3544" w:type="dxa"/>
            <w:shd w:val="clear" w:color="auto" w:fill="E5DFEC" w:themeFill="accent4" w:themeFillTint="33"/>
          </w:tcPr>
          <w:p w14:paraId="72969A80" w14:textId="68274EC5" w:rsidR="00D25F7D" w:rsidRDefault="00D25F7D" w:rsidP="00FE6A6B">
            <w:pPr>
              <w:tabs>
                <w:tab w:val="left" w:pos="1307"/>
              </w:tabs>
              <w:jc w:val="center"/>
            </w:pPr>
            <w:r>
              <w:t>Les taux proposés par la BEI sont en principe avantageux en raison de sa notation sur les marchés financiers. Toutefois, le taux d’intérêt pratiqué ou la commission de garantie</w:t>
            </w:r>
            <w:r w:rsidR="00A17413">
              <w:t xml:space="preserve"> reflète le profil et le risque de chaque projet – il est déterminé au cas par cas lors de la signature</w:t>
            </w:r>
          </w:p>
        </w:tc>
        <w:tc>
          <w:tcPr>
            <w:tcW w:w="3118" w:type="dxa"/>
            <w:shd w:val="clear" w:color="auto" w:fill="E5DFEC" w:themeFill="accent4" w:themeFillTint="33"/>
            <w:vAlign w:val="center"/>
          </w:tcPr>
          <w:p w14:paraId="3519C32E" w14:textId="395E52AD" w:rsidR="00D25F7D" w:rsidRDefault="00D25F7D" w:rsidP="00FE6A6B">
            <w:pPr>
              <w:tabs>
                <w:tab w:val="left" w:pos="1307"/>
              </w:tabs>
              <w:jc w:val="center"/>
            </w:pPr>
            <w:r>
              <w:t>Prise de contact directe avec la BEI ou ses intermédiaires financiers – le processus dépend ensuite de chaque type de financement</w:t>
            </w:r>
          </w:p>
          <w:p w14:paraId="74F1CD8C" w14:textId="77777777" w:rsidR="00D25F7D" w:rsidRDefault="00D25F7D" w:rsidP="00FE6A6B">
            <w:pPr>
              <w:tabs>
                <w:tab w:val="left" w:pos="1307"/>
              </w:tabs>
              <w:jc w:val="center"/>
            </w:pPr>
          </w:p>
          <w:p w14:paraId="1165A2E6" w14:textId="676F4B84" w:rsidR="00D25F7D" w:rsidRDefault="00D25F7D" w:rsidP="002846C6">
            <w:pPr>
              <w:tabs>
                <w:tab w:val="left" w:pos="1307"/>
              </w:tabs>
              <w:jc w:val="center"/>
            </w:pPr>
            <w:r>
              <w:t xml:space="preserve">Plusieurs plateformes de conseil et </w:t>
            </w:r>
            <w:r w:rsidR="00A17413">
              <w:t>d’</w:t>
            </w:r>
            <w:r>
              <w:t xml:space="preserve">assistance à l’ingénierie </w:t>
            </w:r>
          </w:p>
        </w:tc>
      </w:tr>
    </w:tbl>
    <w:p w14:paraId="1A698B03" w14:textId="77777777" w:rsidR="004831CD" w:rsidRDefault="004831CD" w:rsidP="009F2EF0">
      <w:pPr>
        <w:pBdr>
          <w:top w:val="nil"/>
          <w:left w:val="nil"/>
          <w:bottom w:val="nil"/>
          <w:right w:val="nil"/>
          <w:between w:val="nil"/>
        </w:pBdr>
      </w:pPr>
    </w:p>
    <w:tbl>
      <w:tblPr>
        <w:tblStyle w:val="Grilledutableau"/>
        <w:tblW w:w="11057" w:type="dxa"/>
        <w:tblInd w:w="-714" w:type="dxa"/>
        <w:tblLook w:val="04A0" w:firstRow="1" w:lastRow="0" w:firstColumn="1" w:lastColumn="0" w:noHBand="0" w:noVBand="1"/>
      </w:tblPr>
      <w:tblGrid>
        <w:gridCol w:w="2528"/>
        <w:gridCol w:w="2717"/>
        <w:gridCol w:w="1843"/>
        <w:gridCol w:w="1843"/>
        <w:gridCol w:w="2126"/>
      </w:tblGrid>
      <w:tr w:rsidR="00FB4C1D" w14:paraId="2DEE9654" w14:textId="77777777" w:rsidTr="003F1BCC">
        <w:tc>
          <w:tcPr>
            <w:tcW w:w="11057" w:type="dxa"/>
            <w:gridSpan w:val="5"/>
            <w:shd w:val="clear" w:color="auto" w:fill="CCC0D9" w:themeFill="accent4" w:themeFillTint="66"/>
          </w:tcPr>
          <w:p w14:paraId="43299965" w14:textId="328040A2" w:rsidR="00FB4C1D" w:rsidRDefault="00FB4C1D" w:rsidP="00FB4C1D">
            <w:r w:rsidRPr="008077D6">
              <w:rPr>
                <w:b/>
              </w:rPr>
              <w:t>Financements pour le secteur public</w:t>
            </w:r>
          </w:p>
        </w:tc>
      </w:tr>
      <w:tr w:rsidR="007B2083" w14:paraId="0D5C1063" w14:textId="77777777" w:rsidTr="009537C7">
        <w:tc>
          <w:tcPr>
            <w:tcW w:w="2528" w:type="dxa"/>
          </w:tcPr>
          <w:p w14:paraId="3509D7CD" w14:textId="523848C1" w:rsidR="007B2083" w:rsidRPr="008077D6" w:rsidRDefault="007B2083" w:rsidP="00FB4C1D">
            <w:pPr>
              <w:rPr>
                <w:sz w:val="18"/>
                <w:szCs w:val="18"/>
              </w:rPr>
            </w:pPr>
            <w:r w:rsidRPr="008077D6">
              <w:rPr>
                <w:sz w:val="18"/>
                <w:szCs w:val="18"/>
              </w:rPr>
              <w:t>Programmes d’investissements long terme pour le secteur public</w:t>
            </w:r>
            <w:r>
              <w:rPr>
                <w:sz w:val="18"/>
                <w:szCs w:val="18"/>
              </w:rPr>
              <w:t xml:space="preserve"> (prêts-cadres)</w:t>
            </w:r>
          </w:p>
        </w:tc>
        <w:tc>
          <w:tcPr>
            <w:tcW w:w="2717" w:type="dxa"/>
          </w:tcPr>
          <w:p w14:paraId="55A8B1A8" w14:textId="77777777" w:rsidR="007B2083" w:rsidRPr="008077D6" w:rsidRDefault="007B2083" w:rsidP="00FB4C1D">
            <w:pPr>
              <w:rPr>
                <w:sz w:val="18"/>
                <w:szCs w:val="18"/>
              </w:rPr>
            </w:pPr>
            <w:r w:rsidRPr="008077D6">
              <w:rPr>
                <w:sz w:val="18"/>
                <w:szCs w:val="18"/>
              </w:rPr>
              <w:t>Prêts à l’investissement pour le secteur public</w:t>
            </w:r>
          </w:p>
          <w:p w14:paraId="43B4603C" w14:textId="77777777" w:rsidR="007B2083" w:rsidRPr="008077D6" w:rsidRDefault="007B2083" w:rsidP="00FB4C1D">
            <w:pPr>
              <w:rPr>
                <w:sz w:val="18"/>
                <w:szCs w:val="18"/>
              </w:rPr>
            </w:pPr>
          </w:p>
        </w:tc>
        <w:tc>
          <w:tcPr>
            <w:tcW w:w="5812" w:type="dxa"/>
            <w:gridSpan w:val="3"/>
          </w:tcPr>
          <w:p w14:paraId="3918025E" w14:textId="77777777" w:rsidR="007B2083" w:rsidRPr="008077D6" w:rsidRDefault="007B2083" w:rsidP="00FB4C1D">
            <w:pPr>
              <w:rPr>
                <w:sz w:val="18"/>
                <w:szCs w:val="18"/>
              </w:rPr>
            </w:pPr>
            <w:r w:rsidRPr="008077D6">
              <w:rPr>
                <w:sz w:val="18"/>
                <w:szCs w:val="18"/>
              </w:rPr>
              <w:t>Prêts via des intermédiaires financiers (banques) aux administrations et collectivités publiques</w:t>
            </w:r>
          </w:p>
          <w:p w14:paraId="3F35C890" w14:textId="0FBE7F6A" w:rsidR="007B2083" w:rsidRPr="008077D6" w:rsidRDefault="007B2083" w:rsidP="00FB4C1D">
            <w:pPr>
              <w:rPr>
                <w:sz w:val="18"/>
                <w:szCs w:val="18"/>
              </w:rPr>
            </w:pPr>
          </w:p>
        </w:tc>
      </w:tr>
      <w:tr w:rsidR="00FB4C1D" w14:paraId="4BAED6E9" w14:textId="77777777" w:rsidTr="003F1BCC">
        <w:tc>
          <w:tcPr>
            <w:tcW w:w="11057" w:type="dxa"/>
            <w:gridSpan w:val="5"/>
            <w:shd w:val="clear" w:color="auto" w:fill="CCC0D9" w:themeFill="accent4" w:themeFillTint="66"/>
          </w:tcPr>
          <w:p w14:paraId="37657E66" w14:textId="1A2AAC19" w:rsidR="00FB4C1D" w:rsidRPr="008077D6" w:rsidRDefault="00FB4C1D" w:rsidP="00FB4C1D">
            <w:pPr>
              <w:rPr>
                <w:b/>
              </w:rPr>
            </w:pPr>
            <w:r w:rsidRPr="00FB4C1D">
              <w:rPr>
                <w:b/>
              </w:rPr>
              <w:t>Co-investissements (fonds d’infrastructures et fonds environnementaux)</w:t>
            </w:r>
          </w:p>
        </w:tc>
      </w:tr>
      <w:tr w:rsidR="00FB4C1D" w14:paraId="227902C0" w14:textId="77777777" w:rsidTr="003F1BCC">
        <w:tc>
          <w:tcPr>
            <w:tcW w:w="11057" w:type="dxa"/>
            <w:gridSpan w:val="5"/>
            <w:shd w:val="clear" w:color="auto" w:fill="CCC0D9" w:themeFill="accent4" w:themeFillTint="66"/>
          </w:tcPr>
          <w:p w14:paraId="6E67E2E9" w14:textId="456941A9" w:rsidR="00FB4C1D" w:rsidRDefault="00FB4C1D" w:rsidP="00FB4C1D">
            <w:r w:rsidRPr="008077D6">
              <w:rPr>
                <w:b/>
              </w:rPr>
              <w:t>Prêts pour les entreprises</w:t>
            </w:r>
          </w:p>
        </w:tc>
      </w:tr>
      <w:tr w:rsidR="007B2083" w14:paraId="20731005" w14:textId="77777777" w:rsidTr="009537C7">
        <w:tc>
          <w:tcPr>
            <w:tcW w:w="2528" w:type="dxa"/>
          </w:tcPr>
          <w:p w14:paraId="176B4E34" w14:textId="587A46D5" w:rsidR="007B2083" w:rsidRPr="008077D6" w:rsidRDefault="007B2083" w:rsidP="00FB4C1D">
            <w:pPr>
              <w:rPr>
                <w:sz w:val="18"/>
                <w:szCs w:val="18"/>
              </w:rPr>
            </w:pPr>
            <w:r w:rsidRPr="008077D6">
              <w:rPr>
                <w:sz w:val="18"/>
                <w:szCs w:val="18"/>
              </w:rPr>
              <w:t xml:space="preserve">Prêts aux </w:t>
            </w:r>
            <w:r w:rsidR="002846C6">
              <w:rPr>
                <w:sz w:val="18"/>
                <w:szCs w:val="18"/>
              </w:rPr>
              <w:t>grandes entreprises (GE)</w:t>
            </w:r>
            <w:r w:rsidRPr="008077D6">
              <w:rPr>
                <w:sz w:val="18"/>
                <w:szCs w:val="18"/>
              </w:rPr>
              <w:t xml:space="preserve"> et</w:t>
            </w:r>
            <w:r w:rsidR="002846C6">
              <w:rPr>
                <w:sz w:val="18"/>
                <w:szCs w:val="18"/>
              </w:rPr>
              <w:t xml:space="preserve"> entreprises de taille intermédiaire</w:t>
            </w:r>
            <w:r w:rsidRPr="008077D6">
              <w:rPr>
                <w:sz w:val="18"/>
                <w:szCs w:val="18"/>
              </w:rPr>
              <w:t xml:space="preserve"> </w:t>
            </w:r>
            <w:r w:rsidR="002846C6">
              <w:rPr>
                <w:sz w:val="18"/>
                <w:szCs w:val="18"/>
              </w:rPr>
              <w:t>(</w:t>
            </w:r>
            <w:r w:rsidRPr="008077D6">
              <w:rPr>
                <w:sz w:val="18"/>
                <w:szCs w:val="18"/>
              </w:rPr>
              <w:t>ETI</w:t>
            </w:r>
            <w:r w:rsidR="002846C6">
              <w:rPr>
                <w:sz w:val="18"/>
                <w:szCs w:val="18"/>
              </w:rPr>
              <w:t>)</w:t>
            </w:r>
            <w:r w:rsidRPr="008077D6">
              <w:rPr>
                <w:sz w:val="18"/>
                <w:szCs w:val="18"/>
              </w:rPr>
              <w:t xml:space="preserve">, société de projets, </w:t>
            </w:r>
            <w:r w:rsidR="002846C6">
              <w:rPr>
                <w:sz w:val="18"/>
                <w:szCs w:val="18"/>
              </w:rPr>
              <w:t>partenariats publics-privés</w:t>
            </w:r>
            <w:r w:rsidRPr="008077D6">
              <w:rPr>
                <w:sz w:val="18"/>
                <w:szCs w:val="18"/>
              </w:rPr>
              <w:t xml:space="preserve"> et concessions</w:t>
            </w:r>
          </w:p>
        </w:tc>
        <w:tc>
          <w:tcPr>
            <w:tcW w:w="2717" w:type="dxa"/>
          </w:tcPr>
          <w:p w14:paraId="0AA3DB30" w14:textId="739D564F" w:rsidR="007B2083" w:rsidRPr="008077D6" w:rsidRDefault="007B2083" w:rsidP="00FB4C1D">
            <w:pPr>
              <w:rPr>
                <w:sz w:val="18"/>
                <w:szCs w:val="18"/>
              </w:rPr>
            </w:pPr>
            <w:proofErr w:type="spellStart"/>
            <w:r w:rsidRPr="008077D6">
              <w:rPr>
                <w:sz w:val="18"/>
                <w:szCs w:val="18"/>
              </w:rPr>
              <w:t>European</w:t>
            </w:r>
            <w:proofErr w:type="spellEnd"/>
            <w:r w:rsidRPr="008077D6">
              <w:rPr>
                <w:sz w:val="18"/>
                <w:szCs w:val="18"/>
              </w:rPr>
              <w:t xml:space="preserve"> Investment </w:t>
            </w:r>
            <w:proofErr w:type="spellStart"/>
            <w:r w:rsidRPr="008077D6">
              <w:rPr>
                <w:sz w:val="18"/>
                <w:szCs w:val="18"/>
              </w:rPr>
              <w:t>Fund</w:t>
            </w:r>
            <w:proofErr w:type="spellEnd"/>
            <w:r w:rsidR="002846C6">
              <w:rPr>
                <w:sz w:val="18"/>
                <w:szCs w:val="18"/>
              </w:rPr>
              <w:t xml:space="preserve"> (EIF)</w:t>
            </w:r>
          </w:p>
          <w:p w14:paraId="5CBFE239" w14:textId="77777777" w:rsidR="002846C6" w:rsidRDefault="002846C6" w:rsidP="00FB4C1D">
            <w:pPr>
              <w:rPr>
                <w:sz w:val="18"/>
                <w:szCs w:val="18"/>
              </w:rPr>
            </w:pPr>
          </w:p>
          <w:p w14:paraId="4B1C800D" w14:textId="2FFF9E39" w:rsidR="007B2083" w:rsidRPr="002846C6" w:rsidRDefault="001452CF" w:rsidP="00FB4C1D">
            <w:pPr>
              <w:rPr>
                <w:i/>
                <w:iCs/>
                <w:sz w:val="18"/>
                <w:szCs w:val="18"/>
              </w:rPr>
            </w:pPr>
            <w:r>
              <w:rPr>
                <w:i/>
                <w:iCs/>
                <w:sz w:val="18"/>
                <w:szCs w:val="18"/>
              </w:rPr>
              <w:t>Cible : f</w:t>
            </w:r>
            <w:r w:rsidR="002846C6" w:rsidRPr="002846C6">
              <w:rPr>
                <w:i/>
                <w:iCs/>
                <w:sz w:val="18"/>
                <w:szCs w:val="18"/>
              </w:rPr>
              <w:t>onds dédié</w:t>
            </w:r>
            <w:r w:rsidR="007B2083" w:rsidRPr="002846C6">
              <w:rPr>
                <w:i/>
                <w:iCs/>
                <w:sz w:val="18"/>
                <w:szCs w:val="18"/>
              </w:rPr>
              <w:t xml:space="preserve"> </w:t>
            </w:r>
            <w:r w:rsidR="002846C6" w:rsidRPr="002846C6">
              <w:rPr>
                <w:i/>
                <w:iCs/>
                <w:sz w:val="18"/>
                <w:szCs w:val="18"/>
              </w:rPr>
              <w:t xml:space="preserve">aux </w:t>
            </w:r>
            <w:r w:rsidR="007B2083" w:rsidRPr="002846C6">
              <w:rPr>
                <w:i/>
                <w:iCs/>
                <w:sz w:val="18"/>
                <w:szCs w:val="18"/>
              </w:rPr>
              <w:t>PME avec profil de risque</w:t>
            </w:r>
            <w:r w:rsidR="002846C6" w:rsidRPr="002846C6">
              <w:rPr>
                <w:i/>
                <w:iCs/>
                <w:sz w:val="18"/>
                <w:szCs w:val="18"/>
              </w:rPr>
              <w:t xml:space="preserve"> (prêts et garanties, apports en capitaux, etc.)</w:t>
            </w:r>
          </w:p>
        </w:tc>
        <w:tc>
          <w:tcPr>
            <w:tcW w:w="5812" w:type="dxa"/>
            <w:gridSpan w:val="3"/>
          </w:tcPr>
          <w:p w14:paraId="26E453E4" w14:textId="29129B7E" w:rsidR="007B2083" w:rsidRPr="008077D6" w:rsidRDefault="007B2083" w:rsidP="00FB4C1D">
            <w:pPr>
              <w:rPr>
                <w:sz w:val="18"/>
                <w:szCs w:val="18"/>
              </w:rPr>
            </w:pPr>
            <w:r w:rsidRPr="008077D6">
              <w:rPr>
                <w:sz w:val="18"/>
                <w:szCs w:val="18"/>
              </w:rPr>
              <w:t>Prêts via des intermédiaires financiers (banques) aux entreprises (PME, et GE dont ETI)</w:t>
            </w:r>
          </w:p>
        </w:tc>
      </w:tr>
      <w:tr w:rsidR="003F1BCC" w:rsidRPr="008077D6" w14:paraId="703728C3" w14:textId="77777777" w:rsidTr="003F1BCC">
        <w:tc>
          <w:tcPr>
            <w:tcW w:w="11057" w:type="dxa"/>
            <w:gridSpan w:val="5"/>
            <w:shd w:val="clear" w:color="auto" w:fill="CCC0D9" w:themeFill="accent4" w:themeFillTint="66"/>
          </w:tcPr>
          <w:p w14:paraId="6FA38BCD" w14:textId="4F20E2FF" w:rsidR="003F1BCC" w:rsidRPr="008077D6" w:rsidRDefault="003F1BCC" w:rsidP="00FB4C1D">
            <w:pPr>
              <w:rPr>
                <w:sz w:val="18"/>
                <w:szCs w:val="18"/>
                <w:lang w:val="en-GB"/>
              </w:rPr>
            </w:pPr>
            <w:r w:rsidRPr="003F1BCC">
              <w:rPr>
                <w:b/>
              </w:rPr>
              <w:t>Dispositifs thématique</w:t>
            </w:r>
            <w:r>
              <w:rPr>
                <w:b/>
              </w:rPr>
              <w:t>s</w:t>
            </w:r>
          </w:p>
        </w:tc>
      </w:tr>
      <w:tr w:rsidR="00BC4416" w:rsidRPr="00243BF3" w14:paraId="66F84940" w14:textId="77777777" w:rsidTr="009537C7">
        <w:tc>
          <w:tcPr>
            <w:tcW w:w="2528" w:type="dxa"/>
          </w:tcPr>
          <w:p w14:paraId="3EC435F4" w14:textId="77777777" w:rsidR="002846C6" w:rsidRPr="002846C6" w:rsidRDefault="002846C6" w:rsidP="00FB4C1D">
            <w:pPr>
              <w:rPr>
                <w:sz w:val="18"/>
                <w:szCs w:val="18"/>
                <w:lang w:val="en-US"/>
              </w:rPr>
            </w:pPr>
            <w:r w:rsidRPr="002846C6">
              <w:rPr>
                <w:i/>
                <w:iCs/>
                <w:sz w:val="18"/>
                <w:szCs w:val="18"/>
                <w:lang w:val="en-US"/>
              </w:rPr>
              <w:t>European Circular Bioeconomy Fun</w:t>
            </w:r>
            <w:r w:rsidRPr="002846C6">
              <w:rPr>
                <w:sz w:val="18"/>
                <w:szCs w:val="18"/>
                <w:lang w:val="en-US"/>
              </w:rPr>
              <w:t>d (</w:t>
            </w:r>
            <w:r w:rsidR="007B2083" w:rsidRPr="002846C6">
              <w:rPr>
                <w:sz w:val="18"/>
                <w:szCs w:val="18"/>
                <w:lang w:val="en-US"/>
              </w:rPr>
              <w:t>ECBF</w:t>
            </w:r>
            <w:r w:rsidRPr="002846C6">
              <w:rPr>
                <w:sz w:val="18"/>
                <w:szCs w:val="18"/>
                <w:lang w:val="en-US"/>
              </w:rPr>
              <w:t>)</w:t>
            </w:r>
          </w:p>
          <w:p w14:paraId="7F50E71D" w14:textId="77777777" w:rsidR="002846C6" w:rsidRDefault="002846C6" w:rsidP="00FB4C1D">
            <w:pPr>
              <w:rPr>
                <w:sz w:val="18"/>
                <w:szCs w:val="18"/>
                <w:lang w:val="en-US"/>
              </w:rPr>
            </w:pPr>
          </w:p>
          <w:p w14:paraId="337C131F" w14:textId="091481BB" w:rsidR="00BC4416" w:rsidRPr="002846C6" w:rsidRDefault="001452CF" w:rsidP="00FB4C1D">
            <w:pPr>
              <w:rPr>
                <w:i/>
                <w:iCs/>
                <w:sz w:val="18"/>
                <w:szCs w:val="18"/>
              </w:rPr>
            </w:pPr>
            <w:r>
              <w:rPr>
                <w:i/>
                <w:iCs/>
                <w:sz w:val="18"/>
                <w:szCs w:val="18"/>
              </w:rPr>
              <w:t>F</w:t>
            </w:r>
            <w:r w:rsidR="002846C6">
              <w:rPr>
                <w:i/>
                <w:iCs/>
                <w:sz w:val="18"/>
                <w:szCs w:val="18"/>
              </w:rPr>
              <w:t>onds de capital-risque dédié à la bioéconomie et bioéconomie cir</w:t>
            </w:r>
            <w:r>
              <w:rPr>
                <w:i/>
                <w:iCs/>
                <w:sz w:val="18"/>
                <w:szCs w:val="18"/>
              </w:rPr>
              <w:t>cu</w:t>
            </w:r>
            <w:r w:rsidR="002846C6">
              <w:rPr>
                <w:i/>
                <w:iCs/>
                <w:sz w:val="18"/>
                <w:szCs w:val="18"/>
              </w:rPr>
              <w:t>laire</w:t>
            </w:r>
          </w:p>
          <w:p w14:paraId="39E085D6" w14:textId="57F02EB1" w:rsidR="00BC4416" w:rsidRPr="001452CF" w:rsidRDefault="001452CF" w:rsidP="00FB4C1D">
            <w:pPr>
              <w:rPr>
                <w:i/>
                <w:iCs/>
                <w:sz w:val="18"/>
                <w:szCs w:val="18"/>
              </w:rPr>
            </w:pPr>
            <w:r>
              <w:rPr>
                <w:i/>
                <w:iCs/>
                <w:sz w:val="18"/>
                <w:szCs w:val="18"/>
              </w:rPr>
              <w:t>Cible :</w:t>
            </w:r>
            <w:r w:rsidR="00BC4416" w:rsidRPr="001452CF">
              <w:rPr>
                <w:i/>
                <w:iCs/>
                <w:sz w:val="18"/>
                <w:szCs w:val="18"/>
              </w:rPr>
              <w:t xml:space="preserve"> entreprises innovantes </w:t>
            </w:r>
            <w:r w:rsidR="007B2083" w:rsidRPr="001452CF">
              <w:rPr>
                <w:i/>
                <w:iCs/>
                <w:sz w:val="18"/>
                <w:szCs w:val="18"/>
              </w:rPr>
              <w:t>et les projets</w:t>
            </w:r>
            <w:r w:rsidR="00BC4416" w:rsidRPr="001452CF">
              <w:rPr>
                <w:i/>
                <w:iCs/>
                <w:sz w:val="18"/>
                <w:szCs w:val="18"/>
              </w:rPr>
              <w:t xml:space="preserve"> au stade</w:t>
            </w:r>
            <w:r w:rsidRPr="001452CF">
              <w:rPr>
                <w:i/>
                <w:iCs/>
                <w:sz w:val="18"/>
                <w:szCs w:val="18"/>
              </w:rPr>
              <w:t xml:space="preserve"> de démonstration ou</w:t>
            </w:r>
            <w:r w:rsidR="00BC4416" w:rsidRPr="001452CF">
              <w:rPr>
                <w:i/>
                <w:iCs/>
                <w:sz w:val="18"/>
                <w:szCs w:val="18"/>
              </w:rPr>
              <w:t xml:space="preserve"> commercial</w:t>
            </w:r>
          </w:p>
        </w:tc>
        <w:tc>
          <w:tcPr>
            <w:tcW w:w="2717" w:type="dxa"/>
          </w:tcPr>
          <w:p w14:paraId="757B42F2" w14:textId="6FA3FD6C" w:rsidR="00BC4416" w:rsidRDefault="00BC4416" w:rsidP="00FB4C1D">
            <w:pPr>
              <w:rPr>
                <w:i/>
                <w:iCs/>
                <w:sz w:val="18"/>
                <w:szCs w:val="18"/>
              </w:rPr>
            </w:pPr>
            <w:r w:rsidRPr="008077D6">
              <w:rPr>
                <w:sz w:val="18"/>
                <w:szCs w:val="18"/>
              </w:rPr>
              <w:t xml:space="preserve">Mécanisme d’interconnexion </w:t>
            </w:r>
            <w:r w:rsidR="007B2083">
              <w:rPr>
                <w:sz w:val="18"/>
                <w:szCs w:val="18"/>
              </w:rPr>
              <w:t>en Europe</w:t>
            </w:r>
            <w:r w:rsidR="001452CF">
              <w:rPr>
                <w:sz w:val="18"/>
                <w:szCs w:val="18"/>
              </w:rPr>
              <w:t xml:space="preserve"> (MIE)</w:t>
            </w:r>
            <w:r w:rsidR="007B2083">
              <w:rPr>
                <w:sz w:val="18"/>
                <w:szCs w:val="18"/>
              </w:rPr>
              <w:t xml:space="preserve"> </w:t>
            </w:r>
            <w:r w:rsidRPr="008077D6">
              <w:rPr>
                <w:sz w:val="18"/>
                <w:szCs w:val="18"/>
              </w:rPr>
              <w:t>(</w:t>
            </w:r>
            <w:r w:rsidR="001452CF">
              <w:rPr>
                <w:sz w:val="18"/>
                <w:szCs w:val="18"/>
              </w:rPr>
              <w:t>ou</w:t>
            </w:r>
            <w:r w:rsidRPr="008077D6">
              <w:rPr>
                <w:sz w:val="18"/>
                <w:szCs w:val="18"/>
              </w:rPr>
              <w:t xml:space="preserve"> </w:t>
            </w:r>
            <w:proofErr w:type="spellStart"/>
            <w:r w:rsidR="001452CF" w:rsidRPr="001452CF">
              <w:rPr>
                <w:i/>
                <w:iCs/>
                <w:sz w:val="18"/>
                <w:szCs w:val="18"/>
              </w:rPr>
              <w:t>C</w:t>
            </w:r>
            <w:r w:rsidRPr="007B2083">
              <w:rPr>
                <w:i/>
                <w:iCs/>
                <w:sz w:val="18"/>
                <w:szCs w:val="18"/>
              </w:rPr>
              <w:t>onnecting</w:t>
            </w:r>
            <w:proofErr w:type="spellEnd"/>
            <w:r w:rsidRPr="007B2083">
              <w:rPr>
                <w:i/>
                <w:iCs/>
                <w:sz w:val="18"/>
                <w:szCs w:val="18"/>
              </w:rPr>
              <w:t xml:space="preserve"> Europe Facility</w:t>
            </w:r>
            <w:r w:rsidR="001452CF">
              <w:rPr>
                <w:i/>
                <w:iCs/>
                <w:sz w:val="18"/>
                <w:szCs w:val="18"/>
              </w:rPr>
              <w:t xml:space="preserve"> - CEF</w:t>
            </w:r>
            <w:r w:rsidRPr="007B2083">
              <w:rPr>
                <w:i/>
                <w:iCs/>
                <w:sz w:val="18"/>
                <w:szCs w:val="18"/>
              </w:rPr>
              <w:t>)</w:t>
            </w:r>
          </w:p>
          <w:p w14:paraId="013E0530" w14:textId="77777777" w:rsidR="001452CF" w:rsidRPr="008077D6" w:rsidRDefault="001452CF" w:rsidP="00FB4C1D">
            <w:pPr>
              <w:rPr>
                <w:sz w:val="18"/>
                <w:szCs w:val="18"/>
              </w:rPr>
            </w:pPr>
          </w:p>
          <w:p w14:paraId="33FF50C4" w14:textId="77777777" w:rsidR="00FB4C1D" w:rsidRPr="001452CF" w:rsidRDefault="00BC4416" w:rsidP="00FB4C1D">
            <w:pPr>
              <w:rPr>
                <w:i/>
                <w:iCs/>
                <w:sz w:val="18"/>
                <w:szCs w:val="18"/>
              </w:rPr>
            </w:pPr>
            <w:r w:rsidRPr="001452CF">
              <w:rPr>
                <w:i/>
                <w:iCs/>
                <w:sz w:val="18"/>
                <w:szCs w:val="18"/>
              </w:rPr>
              <w:t xml:space="preserve">Transport, énergie, numérique </w:t>
            </w:r>
          </w:p>
          <w:p w14:paraId="48DD47A5" w14:textId="118BF2C2" w:rsidR="00BC4416" w:rsidRPr="001452CF" w:rsidRDefault="00BC4416" w:rsidP="00FB4C1D">
            <w:pPr>
              <w:rPr>
                <w:i/>
                <w:iCs/>
                <w:sz w:val="18"/>
                <w:szCs w:val="18"/>
              </w:rPr>
            </w:pPr>
            <w:r w:rsidRPr="001452CF">
              <w:rPr>
                <w:i/>
                <w:iCs/>
                <w:sz w:val="18"/>
                <w:szCs w:val="18"/>
              </w:rPr>
              <w:t>– volet Instrument de prêt (BEI</w:t>
            </w:r>
            <w:r w:rsidR="00FB4C1D" w:rsidRPr="001452CF">
              <w:rPr>
                <w:i/>
                <w:iCs/>
                <w:sz w:val="18"/>
                <w:szCs w:val="18"/>
              </w:rPr>
              <w:t>)</w:t>
            </w:r>
          </w:p>
          <w:p w14:paraId="6C12539D" w14:textId="5F606EEA" w:rsidR="00BC4416" w:rsidRPr="008077D6" w:rsidRDefault="00FB4C1D" w:rsidP="00FB4C1D">
            <w:pPr>
              <w:rPr>
                <w:sz w:val="18"/>
                <w:szCs w:val="18"/>
              </w:rPr>
            </w:pPr>
            <w:r w:rsidRPr="001452CF">
              <w:rPr>
                <w:i/>
                <w:iCs/>
                <w:sz w:val="18"/>
                <w:szCs w:val="18"/>
              </w:rPr>
              <w:t xml:space="preserve">– </w:t>
            </w:r>
            <w:r w:rsidR="00BC4416" w:rsidRPr="001452CF">
              <w:rPr>
                <w:i/>
                <w:iCs/>
                <w:sz w:val="18"/>
                <w:szCs w:val="18"/>
              </w:rPr>
              <w:t>volet Subvention (CINEA)</w:t>
            </w:r>
          </w:p>
        </w:tc>
        <w:tc>
          <w:tcPr>
            <w:tcW w:w="3686" w:type="dxa"/>
            <w:gridSpan w:val="2"/>
          </w:tcPr>
          <w:p w14:paraId="161EA39A" w14:textId="45C36A09" w:rsidR="00BC4416" w:rsidRPr="008077D6" w:rsidRDefault="00FB4C1D" w:rsidP="00FB4C1D">
            <w:pPr>
              <w:rPr>
                <w:sz w:val="18"/>
                <w:szCs w:val="18"/>
              </w:rPr>
            </w:pPr>
            <w:proofErr w:type="spellStart"/>
            <w:r>
              <w:rPr>
                <w:sz w:val="18"/>
                <w:szCs w:val="18"/>
              </w:rPr>
              <w:t>Innov</w:t>
            </w:r>
            <w:proofErr w:type="spellEnd"/>
            <w:r>
              <w:rPr>
                <w:sz w:val="18"/>
                <w:szCs w:val="18"/>
              </w:rPr>
              <w:t xml:space="preserve"> Fin </w:t>
            </w:r>
            <w:proofErr w:type="spellStart"/>
            <w:r>
              <w:rPr>
                <w:sz w:val="18"/>
                <w:szCs w:val="18"/>
              </w:rPr>
              <w:t>Energy</w:t>
            </w:r>
            <w:proofErr w:type="spellEnd"/>
            <w:r>
              <w:rPr>
                <w:sz w:val="18"/>
                <w:szCs w:val="18"/>
              </w:rPr>
              <w:t xml:space="preserve"> </w:t>
            </w:r>
            <w:proofErr w:type="spellStart"/>
            <w:r>
              <w:rPr>
                <w:sz w:val="18"/>
                <w:szCs w:val="18"/>
              </w:rPr>
              <w:t>Demo</w:t>
            </w:r>
            <w:proofErr w:type="spellEnd"/>
            <w:r>
              <w:rPr>
                <w:sz w:val="18"/>
                <w:szCs w:val="18"/>
              </w:rPr>
              <w:t xml:space="preserve"> </w:t>
            </w:r>
            <w:proofErr w:type="spellStart"/>
            <w:r>
              <w:rPr>
                <w:sz w:val="18"/>
                <w:szCs w:val="18"/>
              </w:rPr>
              <w:t>Projects</w:t>
            </w:r>
            <w:proofErr w:type="spellEnd"/>
          </w:p>
          <w:p w14:paraId="5FAAB396" w14:textId="77777777" w:rsidR="007B2083" w:rsidRDefault="007B2083" w:rsidP="00FB4C1D">
            <w:pPr>
              <w:rPr>
                <w:sz w:val="18"/>
                <w:szCs w:val="18"/>
              </w:rPr>
            </w:pPr>
          </w:p>
          <w:p w14:paraId="3076FE46" w14:textId="70790397" w:rsidR="00BC4416" w:rsidRDefault="00243BF3" w:rsidP="00FB4C1D">
            <w:pPr>
              <w:rPr>
                <w:i/>
                <w:iCs/>
                <w:sz w:val="18"/>
                <w:szCs w:val="18"/>
              </w:rPr>
            </w:pPr>
            <w:r>
              <w:rPr>
                <w:i/>
                <w:iCs/>
                <w:sz w:val="18"/>
                <w:szCs w:val="18"/>
              </w:rPr>
              <w:t>Financement de l’innovation dans le domaine de l’énergie</w:t>
            </w:r>
          </w:p>
          <w:p w14:paraId="6D8BAC5E" w14:textId="77777777" w:rsidR="009537C7" w:rsidRPr="00243BF3" w:rsidRDefault="009537C7" w:rsidP="00FB4C1D">
            <w:pPr>
              <w:rPr>
                <w:i/>
                <w:iCs/>
                <w:sz w:val="18"/>
                <w:szCs w:val="18"/>
              </w:rPr>
            </w:pPr>
          </w:p>
          <w:p w14:paraId="6005872A" w14:textId="2FBD36D9" w:rsidR="00BC4416" w:rsidRPr="00243BF3" w:rsidRDefault="00243BF3" w:rsidP="00FB4C1D">
            <w:pPr>
              <w:rPr>
                <w:i/>
                <w:iCs/>
                <w:sz w:val="18"/>
                <w:szCs w:val="18"/>
              </w:rPr>
            </w:pPr>
            <w:r>
              <w:rPr>
                <w:i/>
                <w:iCs/>
                <w:sz w:val="18"/>
                <w:szCs w:val="18"/>
              </w:rPr>
              <w:t>Cible : projets de démonstration inédits et innovants en phase pré-commerciale</w:t>
            </w:r>
          </w:p>
        </w:tc>
        <w:tc>
          <w:tcPr>
            <w:tcW w:w="2126" w:type="dxa"/>
          </w:tcPr>
          <w:p w14:paraId="0D2E9EC4" w14:textId="77777777" w:rsidR="007B2083" w:rsidRPr="003D35DF" w:rsidRDefault="00BC4416" w:rsidP="00FB4C1D">
            <w:pPr>
              <w:rPr>
                <w:sz w:val="18"/>
                <w:szCs w:val="18"/>
              </w:rPr>
            </w:pPr>
            <w:r w:rsidRPr="003D35DF">
              <w:rPr>
                <w:i/>
                <w:iCs/>
                <w:sz w:val="18"/>
                <w:szCs w:val="18"/>
              </w:rPr>
              <w:t xml:space="preserve">Natural Capital </w:t>
            </w:r>
            <w:proofErr w:type="spellStart"/>
            <w:r w:rsidRPr="003D35DF">
              <w:rPr>
                <w:i/>
                <w:iCs/>
                <w:sz w:val="18"/>
                <w:szCs w:val="18"/>
              </w:rPr>
              <w:t>Financing</w:t>
            </w:r>
            <w:proofErr w:type="spellEnd"/>
            <w:r w:rsidRPr="003D35DF">
              <w:rPr>
                <w:i/>
                <w:iCs/>
                <w:sz w:val="18"/>
                <w:szCs w:val="18"/>
              </w:rPr>
              <w:t xml:space="preserve"> </w:t>
            </w:r>
            <w:proofErr w:type="gramStart"/>
            <w:r w:rsidRPr="003D35DF">
              <w:rPr>
                <w:i/>
                <w:iCs/>
                <w:sz w:val="18"/>
                <w:szCs w:val="18"/>
              </w:rPr>
              <w:t>Facility</w:t>
            </w:r>
            <w:r w:rsidR="00FB4C1D" w:rsidRPr="003D35DF">
              <w:rPr>
                <w:sz w:val="18"/>
                <w:szCs w:val="18"/>
              </w:rPr>
              <w:t xml:space="preserve">  -</w:t>
            </w:r>
            <w:proofErr w:type="gramEnd"/>
            <w:r w:rsidR="00FB4C1D" w:rsidRPr="003D35DF">
              <w:rPr>
                <w:sz w:val="18"/>
                <w:szCs w:val="18"/>
              </w:rPr>
              <w:t xml:space="preserve"> NCFF</w:t>
            </w:r>
          </w:p>
          <w:p w14:paraId="5FF0CAA5" w14:textId="77777777" w:rsidR="007B2083" w:rsidRPr="003D35DF" w:rsidRDefault="007B2083" w:rsidP="00FB4C1D">
            <w:pPr>
              <w:rPr>
                <w:sz w:val="18"/>
                <w:szCs w:val="18"/>
              </w:rPr>
            </w:pPr>
          </w:p>
          <w:p w14:paraId="2815CA22" w14:textId="2AA0DCA8" w:rsidR="00BC4416" w:rsidRPr="00243BF3" w:rsidRDefault="00243BF3" w:rsidP="00FB4C1D">
            <w:pPr>
              <w:rPr>
                <w:i/>
                <w:iCs/>
                <w:sz w:val="18"/>
                <w:szCs w:val="18"/>
              </w:rPr>
            </w:pPr>
            <w:r w:rsidRPr="00243BF3">
              <w:rPr>
                <w:i/>
                <w:iCs/>
                <w:sz w:val="18"/>
                <w:szCs w:val="18"/>
              </w:rPr>
              <w:t>Facility de financement du ca</w:t>
            </w:r>
            <w:r>
              <w:rPr>
                <w:i/>
                <w:iCs/>
                <w:sz w:val="18"/>
                <w:szCs w:val="18"/>
              </w:rPr>
              <w:t>pital naturel – fiche à part dédiée à ce dispositif pilote</w:t>
            </w:r>
          </w:p>
        </w:tc>
      </w:tr>
      <w:tr w:rsidR="00BC4416" w:rsidRPr="00550841" w14:paraId="09D5EDD5" w14:textId="77777777" w:rsidTr="003F1BCC">
        <w:tc>
          <w:tcPr>
            <w:tcW w:w="11057" w:type="dxa"/>
            <w:gridSpan w:val="5"/>
            <w:shd w:val="clear" w:color="auto" w:fill="CCC0D9" w:themeFill="accent4" w:themeFillTint="66"/>
          </w:tcPr>
          <w:p w14:paraId="5E1F005A" w14:textId="38AEB314" w:rsidR="00BC4416" w:rsidRDefault="00BC4416" w:rsidP="007B2083">
            <w:pPr>
              <w:shd w:val="clear" w:color="auto" w:fill="CCC0D9" w:themeFill="accent4" w:themeFillTint="66"/>
              <w:rPr>
                <w:b/>
              </w:rPr>
            </w:pPr>
            <w:r w:rsidRPr="00E770B3">
              <w:rPr>
                <w:b/>
              </w:rPr>
              <w:t>Dispositifs de conseil, assistance et financement de l’</w:t>
            </w:r>
            <w:r w:rsidR="00FB4C1D" w:rsidRPr="00E770B3">
              <w:rPr>
                <w:b/>
              </w:rPr>
              <w:t>ingénierie</w:t>
            </w:r>
          </w:p>
          <w:p w14:paraId="793E965F" w14:textId="77777777" w:rsidR="00FB4C1D" w:rsidRPr="009537C7" w:rsidRDefault="00605922" w:rsidP="007B2083">
            <w:pPr>
              <w:pBdr>
                <w:top w:val="nil"/>
                <w:left w:val="nil"/>
                <w:bottom w:val="nil"/>
                <w:right w:val="nil"/>
                <w:between w:val="nil"/>
              </w:pBdr>
              <w:shd w:val="clear" w:color="auto" w:fill="CCC0D9" w:themeFill="accent4" w:themeFillTint="66"/>
              <w:tabs>
                <w:tab w:val="left" w:pos="1307"/>
              </w:tabs>
              <w:jc w:val="both"/>
              <w:rPr>
                <w:sz w:val="18"/>
                <w:szCs w:val="18"/>
              </w:rPr>
            </w:pPr>
            <w:r w:rsidRPr="009537C7">
              <w:rPr>
                <w:sz w:val="18"/>
                <w:szCs w:val="18"/>
              </w:rPr>
              <w:t xml:space="preserve">Une plateforme unique, le </w:t>
            </w:r>
            <w:hyperlink r:id="rId10" w:history="1">
              <w:proofErr w:type="spellStart"/>
              <w:r w:rsidRPr="009537C7">
                <w:rPr>
                  <w:rStyle w:val="Lienhypertexte"/>
                  <w:i/>
                  <w:iCs/>
                  <w:sz w:val="18"/>
                  <w:szCs w:val="18"/>
                </w:rPr>
                <w:t>European</w:t>
              </w:r>
              <w:proofErr w:type="spellEnd"/>
              <w:r w:rsidRPr="009537C7">
                <w:rPr>
                  <w:rStyle w:val="Lienhypertexte"/>
                  <w:i/>
                  <w:iCs/>
                  <w:sz w:val="18"/>
                  <w:szCs w:val="18"/>
                </w:rPr>
                <w:t xml:space="preserve"> Investment </w:t>
              </w:r>
              <w:proofErr w:type="spellStart"/>
              <w:r w:rsidRPr="009537C7">
                <w:rPr>
                  <w:rStyle w:val="Lienhypertexte"/>
                  <w:i/>
                  <w:iCs/>
                  <w:sz w:val="18"/>
                  <w:szCs w:val="18"/>
                </w:rPr>
                <w:t>Advisory</w:t>
              </w:r>
              <w:proofErr w:type="spellEnd"/>
              <w:r w:rsidRPr="009537C7">
                <w:rPr>
                  <w:rStyle w:val="Lienhypertexte"/>
                  <w:i/>
                  <w:iCs/>
                  <w:sz w:val="18"/>
                  <w:szCs w:val="18"/>
                </w:rPr>
                <w:t xml:space="preserve"> Hub</w:t>
              </w:r>
            </w:hyperlink>
            <w:r w:rsidRPr="009537C7">
              <w:rPr>
                <w:sz w:val="18"/>
                <w:szCs w:val="18"/>
              </w:rPr>
              <w:t xml:space="preserve"> (EIAH) recense l’ensemble de ces dispositifs.</w:t>
            </w:r>
          </w:p>
          <w:p w14:paraId="29AA6AF4" w14:textId="711BBDC9" w:rsidR="00605922" w:rsidRPr="00FB4C1D" w:rsidRDefault="00605922" w:rsidP="007B2083">
            <w:pPr>
              <w:pBdr>
                <w:top w:val="nil"/>
                <w:left w:val="nil"/>
                <w:bottom w:val="nil"/>
                <w:right w:val="nil"/>
                <w:between w:val="nil"/>
              </w:pBdr>
              <w:shd w:val="clear" w:color="auto" w:fill="CCC0D9" w:themeFill="accent4" w:themeFillTint="66"/>
              <w:tabs>
                <w:tab w:val="left" w:pos="1307"/>
              </w:tabs>
              <w:jc w:val="both"/>
            </w:pPr>
            <w:r w:rsidRPr="009537C7">
              <w:rPr>
                <w:sz w:val="18"/>
                <w:szCs w:val="18"/>
              </w:rPr>
              <w:t xml:space="preserve">La plupart de ces dispositifs auront vocation à être intégrés à </w:t>
            </w:r>
            <w:hyperlink r:id="rId11" w:history="1">
              <w:r w:rsidRPr="009537C7">
                <w:rPr>
                  <w:rStyle w:val="Lienhypertexte"/>
                  <w:sz w:val="18"/>
                  <w:szCs w:val="18"/>
                </w:rPr>
                <w:t>la plateforme de conseil d’InvestEU</w:t>
              </w:r>
            </w:hyperlink>
            <w:r w:rsidRPr="009537C7">
              <w:rPr>
                <w:sz w:val="18"/>
                <w:szCs w:val="18"/>
              </w:rPr>
              <w:t>.</w:t>
            </w:r>
          </w:p>
        </w:tc>
      </w:tr>
      <w:tr w:rsidR="00BC4416" w:rsidRPr="00550841" w14:paraId="7F2B89F1" w14:textId="77777777" w:rsidTr="009537C7">
        <w:tc>
          <w:tcPr>
            <w:tcW w:w="2528" w:type="dxa"/>
          </w:tcPr>
          <w:p w14:paraId="6F11BA06" w14:textId="77777777" w:rsidR="00BC4416" w:rsidRPr="00E770B3" w:rsidRDefault="00BC4416" w:rsidP="00FB4C1D">
            <w:pPr>
              <w:rPr>
                <w:sz w:val="18"/>
                <w:szCs w:val="18"/>
              </w:rPr>
            </w:pPr>
            <w:r w:rsidRPr="00E770B3">
              <w:rPr>
                <w:sz w:val="18"/>
                <w:szCs w:val="18"/>
              </w:rPr>
              <w:t xml:space="preserve">JASPERS </w:t>
            </w:r>
          </w:p>
          <w:p w14:paraId="161A7A7C" w14:textId="77777777" w:rsidR="00BC4416" w:rsidRPr="00E770B3" w:rsidRDefault="00BC4416" w:rsidP="00FB4C1D">
            <w:pPr>
              <w:rPr>
                <w:sz w:val="18"/>
                <w:szCs w:val="18"/>
              </w:rPr>
            </w:pPr>
          </w:p>
          <w:p w14:paraId="10D995BB" w14:textId="2E7536F0" w:rsidR="00BC4416" w:rsidRPr="009537C7" w:rsidRDefault="00BC4416" w:rsidP="00FB4C1D">
            <w:pPr>
              <w:rPr>
                <w:i/>
                <w:iCs/>
                <w:sz w:val="18"/>
                <w:szCs w:val="18"/>
              </w:rPr>
            </w:pPr>
            <w:r w:rsidRPr="009537C7">
              <w:rPr>
                <w:i/>
                <w:iCs/>
                <w:sz w:val="18"/>
                <w:szCs w:val="18"/>
              </w:rPr>
              <w:t>Assistance aux régions et villes</w:t>
            </w:r>
            <w:r w:rsidR="00243BF3" w:rsidRPr="009537C7">
              <w:rPr>
                <w:i/>
                <w:iCs/>
                <w:sz w:val="18"/>
                <w:szCs w:val="18"/>
              </w:rPr>
              <w:t xml:space="preserve"> euro</w:t>
            </w:r>
            <w:r w:rsidR="009537C7">
              <w:rPr>
                <w:i/>
                <w:iCs/>
                <w:sz w:val="18"/>
                <w:szCs w:val="18"/>
              </w:rPr>
              <w:t>p</w:t>
            </w:r>
            <w:r w:rsidR="00243BF3" w:rsidRPr="009537C7">
              <w:rPr>
                <w:i/>
                <w:iCs/>
                <w:sz w:val="18"/>
                <w:szCs w:val="18"/>
              </w:rPr>
              <w:t>éennes</w:t>
            </w:r>
            <w:r w:rsidRPr="009537C7">
              <w:rPr>
                <w:i/>
                <w:iCs/>
                <w:sz w:val="18"/>
                <w:szCs w:val="18"/>
              </w:rPr>
              <w:t xml:space="preserve"> pour l’accès </w:t>
            </w:r>
            <w:r w:rsidR="00243BF3" w:rsidRPr="009537C7">
              <w:rPr>
                <w:i/>
                <w:iCs/>
                <w:sz w:val="18"/>
                <w:szCs w:val="18"/>
              </w:rPr>
              <w:t>à certains fonds européens (</w:t>
            </w:r>
            <w:r w:rsidRPr="009537C7">
              <w:rPr>
                <w:i/>
                <w:iCs/>
                <w:sz w:val="18"/>
                <w:szCs w:val="18"/>
              </w:rPr>
              <w:t>FESI, FTJ et MIE</w:t>
            </w:r>
            <w:r w:rsidR="00243BF3" w:rsidRPr="009537C7">
              <w:rPr>
                <w:i/>
                <w:iCs/>
                <w:sz w:val="18"/>
                <w:szCs w:val="18"/>
              </w:rPr>
              <w:t>)</w:t>
            </w:r>
          </w:p>
        </w:tc>
        <w:tc>
          <w:tcPr>
            <w:tcW w:w="2717" w:type="dxa"/>
          </w:tcPr>
          <w:p w14:paraId="0651E0A2" w14:textId="77777777" w:rsidR="00BC4416" w:rsidRPr="00E770B3" w:rsidRDefault="00BC4416" w:rsidP="00FB4C1D">
            <w:pPr>
              <w:rPr>
                <w:sz w:val="18"/>
                <w:szCs w:val="18"/>
              </w:rPr>
            </w:pPr>
            <w:r w:rsidRPr="00E770B3">
              <w:rPr>
                <w:sz w:val="18"/>
                <w:szCs w:val="18"/>
              </w:rPr>
              <w:t xml:space="preserve">PASSA </w:t>
            </w:r>
          </w:p>
          <w:p w14:paraId="0E235516" w14:textId="77777777" w:rsidR="00BC4416" w:rsidRPr="00E770B3" w:rsidRDefault="00BC4416" w:rsidP="00FB4C1D">
            <w:pPr>
              <w:rPr>
                <w:sz w:val="18"/>
                <w:szCs w:val="18"/>
              </w:rPr>
            </w:pPr>
          </w:p>
          <w:p w14:paraId="639BADFA" w14:textId="337A2F82" w:rsidR="009537C7" w:rsidRDefault="00BC4416" w:rsidP="00FB4C1D">
            <w:pPr>
              <w:rPr>
                <w:i/>
                <w:iCs/>
                <w:sz w:val="18"/>
                <w:szCs w:val="18"/>
              </w:rPr>
            </w:pPr>
            <w:r w:rsidRPr="009537C7">
              <w:rPr>
                <w:i/>
                <w:iCs/>
                <w:sz w:val="18"/>
                <w:szCs w:val="18"/>
              </w:rPr>
              <w:t>Assistance aux grands projets stratégiques</w:t>
            </w:r>
            <w:r w:rsidR="009537C7" w:rsidRPr="009537C7">
              <w:rPr>
                <w:i/>
                <w:iCs/>
                <w:sz w:val="18"/>
                <w:szCs w:val="18"/>
              </w:rPr>
              <w:t xml:space="preserve"> (infrastructure stratégiques et systèmes de passation de marchés)</w:t>
            </w:r>
          </w:p>
          <w:p w14:paraId="717D56D4" w14:textId="77777777" w:rsidR="009537C7" w:rsidRDefault="009537C7" w:rsidP="00FB4C1D">
            <w:pPr>
              <w:rPr>
                <w:i/>
                <w:iCs/>
                <w:sz w:val="18"/>
                <w:szCs w:val="18"/>
              </w:rPr>
            </w:pPr>
          </w:p>
          <w:p w14:paraId="6AB1887A" w14:textId="5C92CF81" w:rsidR="00BC4416" w:rsidRPr="009537C7" w:rsidRDefault="009537C7" w:rsidP="00FB4C1D">
            <w:pPr>
              <w:rPr>
                <w:i/>
                <w:iCs/>
                <w:sz w:val="18"/>
                <w:szCs w:val="18"/>
              </w:rPr>
            </w:pPr>
            <w:r>
              <w:rPr>
                <w:i/>
                <w:iCs/>
                <w:sz w:val="18"/>
                <w:szCs w:val="18"/>
              </w:rPr>
              <w:t xml:space="preserve">Cibles : </w:t>
            </w:r>
            <w:r w:rsidR="00BC4416" w:rsidRPr="009537C7">
              <w:rPr>
                <w:i/>
                <w:iCs/>
                <w:sz w:val="18"/>
                <w:szCs w:val="18"/>
              </w:rPr>
              <w:t>entité</w:t>
            </w:r>
            <w:r>
              <w:rPr>
                <w:i/>
                <w:iCs/>
                <w:sz w:val="18"/>
                <w:szCs w:val="18"/>
              </w:rPr>
              <w:t>s</w:t>
            </w:r>
            <w:r w:rsidR="00BC4416" w:rsidRPr="009537C7">
              <w:rPr>
                <w:i/>
                <w:iCs/>
                <w:sz w:val="18"/>
                <w:szCs w:val="18"/>
              </w:rPr>
              <w:t xml:space="preserve"> publique</w:t>
            </w:r>
            <w:r>
              <w:rPr>
                <w:i/>
                <w:iCs/>
                <w:sz w:val="18"/>
                <w:szCs w:val="18"/>
              </w:rPr>
              <w:t>s et privées</w:t>
            </w:r>
          </w:p>
        </w:tc>
        <w:tc>
          <w:tcPr>
            <w:tcW w:w="1843" w:type="dxa"/>
          </w:tcPr>
          <w:p w14:paraId="37CDB11F" w14:textId="61C97445" w:rsidR="00BC4416" w:rsidRPr="00E770B3" w:rsidRDefault="009537C7" w:rsidP="00FB4C1D">
            <w:pPr>
              <w:rPr>
                <w:sz w:val="18"/>
                <w:szCs w:val="18"/>
              </w:rPr>
            </w:pPr>
            <w:r>
              <w:rPr>
                <w:sz w:val="18"/>
                <w:szCs w:val="18"/>
              </w:rPr>
              <w:t>Innov Fin</w:t>
            </w:r>
            <w:r w:rsidR="00BC4416" w:rsidRPr="00E770B3">
              <w:rPr>
                <w:sz w:val="18"/>
                <w:szCs w:val="18"/>
              </w:rPr>
              <w:t xml:space="preserve"> - volet conseil</w:t>
            </w:r>
          </w:p>
          <w:p w14:paraId="6910D551" w14:textId="77777777" w:rsidR="00BC4416" w:rsidRPr="00E770B3" w:rsidRDefault="00BC4416" w:rsidP="00FB4C1D">
            <w:pPr>
              <w:rPr>
                <w:sz w:val="18"/>
                <w:szCs w:val="18"/>
              </w:rPr>
            </w:pPr>
          </w:p>
          <w:p w14:paraId="6FEBAB6B" w14:textId="4280C4EE" w:rsidR="00BC4416" w:rsidRDefault="00BC4416" w:rsidP="00FB4C1D">
            <w:pPr>
              <w:rPr>
                <w:i/>
                <w:iCs/>
                <w:sz w:val="18"/>
                <w:szCs w:val="18"/>
              </w:rPr>
            </w:pPr>
            <w:r w:rsidRPr="009537C7">
              <w:rPr>
                <w:i/>
                <w:iCs/>
                <w:sz w:val="18"/>
                <w:szCs w:val="18"/>
              </w:rPr>
              <w:t>Structuration de projets d’innovation</w:t>
            </w:r>
          </w:p>
          <w:p w14:paraId="610FBAB2" w14:textId="77777777" w:rsidR="009537C7" w:rsidRDefault="009537C7" w:rsidP="00FB4C1D">
            <w:pPr>
              <w:rPr>
                <w:i/>
                <w:iCs/>
                <w:sz w:val="18"/>
                <w:szCs w:val="18"/>
              </w:rPr>
            </w:pPr>
          </w:p>
          <w:p w14:paraId="45D46336" w14:textId="00CA0126" w:rsidR="009537C7" w:rsidRPr="009537C7" w:rsidRDefault="009537C7" w:rsidP="00FB4C1D">
            <w:pPr>
              <w:rPr>
                <w:i/>
                <w:iCs/>
                <w:sz w:val="18"/>
                <w:szCs w:val="18"/>
              </w:rPr>
            </w:pPr>
            <w:r>
              <w:rPr>
                <w:i/>
                <w:iCs/>
                <w:sz w:val="18"/>
                <w:szCs w:val="18"/>
              </w:rPr>
              <w:t>Cibles : entreprises de toute taille mais aussi secteur public</w:t>
            </w:r>
          </w:p>
        </w:tc>
        <w:tc>
          <w:tcPr>
            <w:tcW w:w="1843" w:type="dxa"/>
          </w:tcPr>
          <w:p w14:paraId="7FEEDFD6" w14:textId="49E3F961" w:rsidR="00BC4416" w:rsidRDefault="00BC4416" w:rsidP="00FB4C1D">
            <w:pPr>
              <w:rPr>
                <w:sz w:val="18"/>
                <w:szCs w:val="18"/>
              </w:rPr>
            </w:pPr>
            <w:r w:rsidRPr="00E770B3">
              <w:rPr>
                <w:sz w:val="18"/>
                <w:szCs w:val="18"/>
              </w:rPr>
              <w:t>ELENA</w:t>
            </w:r>
          </w:p>
          <w:p w14:paraId="49E2D874" w14:textId="77777777" w:rsidR="007B2083" w:rsidRPr="00E770B3" w:rsidRDefault="007B2083" w:rsidP="00FB4C1D">
            <w:pPr>
              <w:rPr>
                <w:sz w:val="18"/>
                <w:szCs w:val="18"/>
              </w:rPr>
            </w:pPr>
          </w:p>
          <w:p w14:paraId="0A0E110D" w14:textId="74E93B35" w:rsidR="00BC4416" w:rsidRPr="009537C7" w:rsidRDefault="00BC4416" w:rsidP="00FB4C1D">
            <w:pPr>
              <w:rPr>
                <w:i/>
                <w:iCs/>
                <w:sz w:val="18"/>
                <w:szCs w:val="18"/>
              </w:rPr>
            </w:pPr>
            <w:r w:rsidRPr="009537C7">
              <w:rPr>
                <w:i/>
                <w:iCs/>
                <w:sz w:val="18"/>
                <w:szCs w:val="18"/>
              </w:rPr>
              <w:t xml:space="preserve">Projets EE et </w:t>
            </w:r>
            <w:proofErr w:type="spellStart"/>
            <w:r w:rsidRPr="009537C7">
              <w:rPr>
                <w:i/>
                <w:iCs/>
                <w:sz w:val="18"/>
                <w:szCs w:val="18"/>
              </w:rPr>
              <w:t>E</w:t>
            </w:r>
            <w:r w:rsidR="009537C7" w:rsidRPr="009537C7">
              <w:rPr>
                <w:i/>
                <w:iCs/>
                <w:sz w:val="18"/>
                <w:szCs w:val="18"/>
              </w:rPr>
              <w:t>n</w:t>
            </w:r>
            <w:r w:rsidRPr="009537C7">
              <w:rPr>
                <w:i/>
                <w:iCs/>
                <w:sz w:val="18"/>
                <w:szCs w:val="18"/>
              </w:rPr>
              <w:t>R</w:t>
            </w:r>
            <w:proofErr w:type="spellEnd"/>
            <w:r w:rsidRPr="009537C7">
              <w:rPr>
                <w:i/>
                <w:iCs/>
                <w:sz w:val="18"/>
                <w:szCs w:val="18"/>
              </w:rPr>
              <w:t xml:space="preserve"> locaux </w:t>
            </w:r>
            <w:proofErr w:type="spellStart"/>
            <w:r w:rsidR="009537C7" w:rsidRPr="009537C7">
              <w:rPr>
                <w:i/>
                <w:iCs/>
                <w:sz w:val="18"/>
                <w:szCs w:val="18"/>
              </w:rPr>
              <w:t>non</w:t>
            </w:r>
            <w:r w:rsidRPr="009537C7">
              <w:rPr>
                <w:i/>
                <w:iCs/>
                <w:sz w:val="18"/>
                <w:szCs w:val="18"/>
              </w:rPr>
              <w:t>lucratifs</w:t>
            </w:r>
            <w:proofErr w:type="spellEnd"/>
          </w:p>
          <w:p w14:paraId="149D0671" w14:textId="77777777" w:rsidR="00BC4416" w:rsidRPr="009537C7" w:rsidRDefault="00BC4416" w:rsidP="00BC4416">
            <w:pPr>
              <w:pStyle w:val="Paragraphedeliste"/>
              <w:numPr>
                <w:ilvl w:val="0"/>
                <w:numId w:val="36"/>
              </w:numPr>
              <w:ind w:left="37"/>
              <w:rPr>
                <w:i/>
                <w:iCs/>
                <w:sz w:val="18"/>
                <w:szCs w:val="18"/>
              </w:rPr>
            </w:pPr>
            <w:r w:rsidRPr="009537C7">
              <w:rPr>
                <w:i/>
                <w:iCs/>
                <w:sz w:val="18"/>
                <w:szCs w:val="18"/>
              </w:rPr>
              <w:t xml:space="preserve">- bâtiment </w:t>
            </w:r>
          </w:p>
          <w:p w14:paraId="670CD3AC" w14:textId="77777777" w:rsidR="00BC4416" w:rsidRPr="00E770B3" w:rsidRDefault="00BC4416" w:rsidP="00BC4416">
            <w:pPr>
              <w:pStyle w:val="Paragraphedeliste"/>
              <w:numPr>
                <w:ilvl w:val="0"/>
                <w:numId w:val="36"/>
              </w:numPr>
              <w:ind w:left="37"/>
              <w:rPr>
                <w:sz w:val="18"/>
                <w:szCs w:val="18"/>
              </w:rPr>
            </w:pPr>
            <w:r w:rsidRPr="009537C7">
              <w:rPr>
                <w:i/>
                <w:iCs/>
                <w:sz w:val="18"/>
                <w:szCs w:val="18"/>
              </w:rPr>
              <w:t>- transport urbain innovant</w:t>
            </w:r>
          </w:p>
        </w:tc>
        <w:tc>
          <w:tcPr>
            <w:tcW w:w="2126" w:type="dxa"/>
          </w:tcPr>
          <w:p w14:paraId="72215748" w14:textId="77777777" w:rsidR="00BC4416" w:rsidRPr="00E770B3" w:rsidRDefault="00BC4416" w:rsidP="00FB4C1D">
            <w:pPr>
              <w:rPr>
                <w:sz w:val="18"/>
                <w:szCs w:val="18"/>
              </w:rPr>
            </w:pPr>
            <w:r w:rsidRPr="00E770B3">
              <w:rPr>
                <w:sz w:val="18"/>
                <w:szCs w:val="18"/>
              </w:rPr>
              <w:t xml:space="preserve">URBIS </w:t>
            </w:r>
          </w:p>
          <w:p w14:paraId="36F86121" w14:textId="77777777" w:rsidR="009537C7" w:rsidRDefault="009537C7" w:rsidP="00FB4C1D">
            <w:pPr>
              <w:rPr>
                <w:i/>
                <w:iCs/>
                <w:sz w:val="18"/>
                <w:szCs w:val="18"/>
              </w:rPr>
            </w:pPr>
          </w:p>
          <w:p w14:paraId="041E5148" w14:textId="03538A96" w:rsidR="00BC4416" w:rsidRPr="009537C7" w:rsidRDefault="009537C7" w:rsidP="00FB4C1D">
            <w:pPr>
              <w:rPr>
                <w:i/>
                <w:iCs/>
                <w:sz w:val="18"/>
                <w:szCs w:val="18"/>
              </w:rPr>
            </w:pPr>
            <w:r>
              <w:rPr>
                <w:i/>
                <w:iCs/>
                <w:sz w:val="18"/>
                <w:szCs w:val="18"/>
              </w:rPr>
              <w:t>Conseils spécialisés sur les investissements urbaines</w:t>
            </w:r>
          </w:p>
          <w:p w14:paraId="1A20EED5" w14:textId="77777777" w:rsidR="00BC4416" w:rsidRPr="00E770B3" w:rsidRDefault="00BC4416" w:rsidP="00FB4C1D">
            <w:pPr>
              <w:rPr>
                <w:sz w:val="18"/>
                <w:szCs w:val="18"/>
              </w:rPr>
            </w:pPr>
          </w:p>
          <w:p w14:paraId="7C771347" w14:textId="7077D576" w:rsidR="00BC4416" w:rsidRPr="009537C7" w:rsidRDefault="009537C7" w:rsidP="00FB4C1D">
            <w:pPr>
              <w:rPr>
                <w:i/>
                <w:iCs/>
                <w:sz w:val="18"/>
                <w:szCs w:val="18"/>
              </w:rPr>
            </w:pPr>
            <w:r>
              <w:rPr>
                <w:i/>
                <w:iCs/>
                <w:sz w:val="18"/>
                <w:szCs w:val="18"/>
              </w:rPr>
              <w:t>Cibles : autorités municipales</w:t>
            </w:r>
          </w:p>
        </w:tc>
      </w:tr>
    </w:tbl>
    <w:p w14:paraId="448393B7" w14:textId="77777777" w:rsidR="00A17413" w:rsidRDefault="00A17413" w:rsidP="00A17413">
      <w:pPr>
        <w:pStyle w:val="EnvTitreparagraphe"/>
        <w:numPr>
          <w:ilvl w:val="0"/>
          <w:numId w:val="0"/>
        </w:numPr>
        <w:spacing w:before="0"/>
        <w:rPr>
          <w:sz w:val="24"/>
          <w:szCs w:val="24"/>
        </w:rPr>
      </w:pPr>
    </w:p>
    <w:p w14:paraId="42412E9D" w14:textId="376F5102" w:rsidR="00932D39" w:rsidRDefault="00932D39" w:rsidP="00825859">
      <w:pPr>
        <w:pStyle w:val="EnvTitreparagraphe"/>
        <w:numPr>
          <w:ilvl w:val="0"/>
          <w:numId w:val="4"/>
        </w:numPr>
        <w:spacing w:before="0"/>
        <w:rPr>
          <w:sz w:val="24"/>
          <w:szCs w:val="24"/>
        </w:rPr>
      </w:pPr>
      <w:r>
        <w:rPr>
          <w:sz w:val="24"/>
          <w:szCs w:val="24"/>
        </w:rPr>
        <w:lastRenderedPageBreak/>
        <w:t>Domaines stratégiques pour le Grand Est touchés par le programme</w:t>
      </w:r>
    </w:p>
    <w:p w14:paraId="59A61A3F" w14:textId="77777777" w:rsidR="00CC781C" w:rsidRDefault="007F0459" w:rsidP="00B768A9">
      <w:pPr>
        <w:pBdr>
          <w:top w:val="nil"/>
          <w:left w:val="nil"/>
          <w:bottom w:val="nil"/>
          <w:right w:val="nil"/>
          <w:between w:val="nil"/>
        </w:pBdr>
        <w:jc w:val="both"/>
        <w:rPr>
          <w:color w:val="000000"/>
        </w:rPr>
      </w:pPr>
      <w:r>
        <w:rPr>
          <w:color w:val="000000"/>
        </w:rPr>
        <w:t>L</w:t>
      </w:r>
      <w:r w:rsidR="00B768A9">
        <w:rPr>
          <w:color w:val="000000"/>
        </w:rPr>
        <w:t>a plupart des</w:t>
      </w:r>
      <w:r>
        <w:rPr>
          <w:color w:val="000000"/>
        </w:rPr>
        <w:t xml:space="preserve"> enjeux de la transition écologique et énergétique sur le territoire du Grand Est</w:t>
      </w:r>
      <w:r w:rsidR="00B768A9">
        <w:rPr>
          <w:color w:val="000000"/>
        </w:rPr>
        <w:t xml:space="preserve"> nécessite des investissements volumineux,</w:t>
      </w:r>
      <w:r w:rsidR="00DB2DF2">
        <w:rPr>
          <w:color w:val="000000"/>
        </w:rPr>
        <w:t xml:space="preserve"> pour lesquels</w:t>
      </w:r>
      <w:r w:rsidR="00B768A9">
        <w:rPr>
          <w:color w:val="000000"/>
        </w:rPr>
        <w:t xml:space="preserve"> </w:t>
      </w:r>
      <w:r w:rsidR="00DB2DF2">
        <w:rPr>
          <w:color w:val="000000"/>
        </w:rPr>
        <w:t>l</w:t>
      </w:r>
      <w:r w:rsidR="00B768A9">
        <w:rPr>
          <w:color w:val="000000"/>
        </w:rPr>
        <w:t>es dispositifs de financement proposés par la Banque</w:t>
      </w:r>
      <w:r w:rsidR="00B50D02">
        <w:rPr>
          <w:color w:val="000000"/>
        </w:rPr>
        <w:t xml:space="preserve"> européenne d’investissement (BEI)</w:t>
      </w:r>
      <w:r w:rsidR="00DB2DF2">
        <w:rPr>
          <w:color w:val="000000"/>
        </w:rPr>
        <w:t>,</w:t>
      </w:r>
      <w:r w:rsidR="00E66010">
        <w:rPr>
          <w:color w:val="000000"/>
        </w:rPr>
        <w:t xml:space="preserve"> tels que des prêts, des garanties ou des </w:t>
      </w:r>
      <w:r w:rsidR="00DB2DF2">
        <w:rPr>
          <w:color w:val="000000"/>
        </w:rPr>
        <w:t>apports en capital</w:t>
      </w:r>
      <w:r w:rsidR="00E66010">
        <w:rPr>
          <w:color w:val="000000"/>
        </w:rPr>
        <w:t>,</w:t>
      </w:r>
      <w:r w:rsidR="00B50D02">
        <w:rPr>
          <w:color w:val="000000"/>
        </w:rPr>
        <w:t xml:space="preserve"> </w:t>
      </w:r>
      <w:r w:rsidR="00DB2DF2">
        <w:rPr>
          <w:color w:val="000000"/>
        </w:rPr>
        <w:t>seraient pertinents</w:t>
      </w:r>
      <w:r w:rsidR="00B50D02">
        <w:rPr>
          <w:color w:val="000000"/>
        </w:rPr>
        <w:t>. Plus précisément, les domaines à enjeux suivants pourraient bénéficier d’un appui de la BEI :</w:t>
      </w:r>
    </w:p>
    <w:p w14:paraId="5449BB3A" w14:textId="77777777" w:rsidR="00640A51" w:rsidRDefault="00F34515" w:rsidP="00825859">
      <w:pPr>
        <w:pStyle w:val="Paragraphedeliste"/>
        <w:numPr>
          <w:ilvl w:val="0"/>
          <w:numId w:val="5"/>
        </w:numPr>
        <w:pBdr>
          <w:top w:val="nil"/>
          <w:left w:val="nil"/>
          <w:bottom w:val="nil"/>
          <w:right w:val="nil"/>
          <w:between w:val="nil"/>
        </w:pBdr>
        <w:jc w:val="both"/>
        <w:rPr>
          <w:color w:val="000000"/>
        </w:rPr>
      </w:pPr>
      <w:r w:rsidRPr="006E1CCB">
        <w:rPr>
          <w:b/>
          <w:bCs/>
          <w:color w:val="000000"/>
        </w:rPr>
        <w:t>Le bâtiment</w:t>
      </w:r>
      <w:r w:rsidR="00DB2DF2">
        <w:rPr>
          <w:color w:val="000000"/>
        </w:rPr>
        <w:t xml:space="preserve"> </w:t>
      </w:r>
      <w:r w:rsidR="00640A51">
        <w:rPr>
          <w:color w:val="000000"/>
        </w:rPr>
        <w:t xml:space="preserve">: </w:t>
      </w:r>
      <w:r w:rsidR="00F26E96">
        <w:rPr>
          <w:color w:val="000000"/>
        </w:rPr>
        <w:t>les</w:t>
      </w:r>
      <w:r w:rsidR="00DB2DF2">
        <w:rPr>
          <w:color w:val="000000"/>
        </w:rPr>
        <w:t xml:space="preserve"> investissements </w:t>
      </w:r>
      <w:r w:rsidR="00F26E96">
        <w:rPr>
          <w:color w:val="000000"/>
        </w:rPr>
        <w:t>nécessaires à</w:t>
      </w:r>
      <w:r w:rsidR="00DB2DF2">
        <w:rPr>
          <w:color w:val="000000"/>
        </w:rPr>
        <w:t xml:space="preserve"> la rénovation énergétique pourraient en partie être financés par des prêts à l’investissement</w:t>
      </w:r>
      <w:r>
        <w:rPr>
          <w:color w:val="000000"/>
        </w:rPr>
        <w:t xml:space="preserve"> de la BEI</w:t>
      </w:r>
      <w:r w:rsidR="00DB2DF2">
        <w:rPr>
          <w:color w:val="000000"/>
        </w:rPr>
        <w:t>. La BEI propose également des dispositifs d’assistance et de conseil dédiés à ce secteur (ELENA).</w:t>
      </w:r>
    </w:p>
    <w:p w14:paraId="2BA07FD5" w14:textId="77777777" w:rsidR="007F0459" w:rsidRDefault="00F34515" w:rsidP="00825859">
      <w:pPr>
        <w:pStyle w:val="Paragraphedeliste"/>
        <w:numPr>
          <w:ilvl w:val="0"/>
          <w:numId w:val="5"/>
        </w:numPr>
        <w:pBdr>
          <w:top w:val="nil"/>
          <w:left w:val="nil"/>
          <w:bottom w:val="nil"/>
          <w:right w:val="nil"/>
          <w:between w:val="nil"/>
        </w:pBdr>
        <w:jc w:val="both"/>
        <w:rPr>
          <w:color w:val="000000"/>
        </w:rPr>
      </w:pPr>
      <w:r w:rsidRPr="006E1CCB">
        <w:rPr>
          <w:b/>
          <w:bCs/>
          <w:color w:val="000000"/>
        </w:rPr>
        <w:t>Les é</w:t>
      </w:r>
      <w:r w:rsidR="00DB2DF2" w:rsidRPr="006E1CCB">
        <w:rPr>
          <w:b/>
          <w:bCs/>
          <w:color w:val="000000"/>
        </w:rPr>
        <w:t>nergies renouvelables</w:t>
      </w:r>
      <w:r w:rsidR="00E80607" w:rsidRPr="006E1CCB">
        <w:rPr>
          <w:b/>
          <w:bCs/>
          <w:color w:val="000000"/>
        </w:rPr>
        <w:t xml:space="preserve"> (</w:t>
      </w:r>
      <w:proofErr w:type="spellStart"/>
      <w:r w:rsidR="00E80607" w:rsidRPr="006E1CCB">
        <w:rPr>
          <w:b/>
          <w:bCs/>
          <w:color w:val="000000"/>
        </w:rPr>
        <w:t>En</w:t>
      </w:r>
      <w:r w:rsidRPr="006E1CCB">
        <w:rPr>
          <w:b/>
          <w:bCs/>
          <w:color w:val="000000"/>
        </w:rPr>
        <w:t>R</w:t>
      </w:r>
      <w:proofErr w:type="spellEnd"/>
      <w:r w:rsidR="00E80607" w:rsidRPr="006E1CCB">
        <w:rPr>
          <w:b/>
          <w:bCs/>
          <w:color w:val="000000"/>
        </w:rPr>
        <w:t>)</w:t>
      </w:r>
      <w:r w:rsidR="00DB2DF2" w:rsidRPr="006E1CCB">
        <w:rPr>
          <w:b/>
          <w:bCs/>
          <w:color w:val="000000"/>
        </w:rPr>
        <w:t xml:space="preserve"> et de récupération</w:t>
      </w:r>
      <w:r w:rsidR="00DB2DF2">
        <w:rPr>
          <w:color w:val="000000"/>
        </w:rPr>
        <w:t> :</w:t>
      </w:r>
      <w:r w:rsidR="003570B7">
        <w:rPr>
          <w:color w:val="000000"/>
        </w:rPr>
        <w:t xml:space="preserve"> l’optimisation de stratégies d’investissement pour des écosystèmes énergétiques territoriaux pourrait être appuyée par des dispositifs d’assistance tels qu’URBIS (pour les Villes). Les prêts à l’investissement de la BEI</w:t>
      </w:r>
      <w:r w:rsidR="00E80607">
        <w:rPr>
          <w:color w:val="000000"/>
        </w:rPr>
        <w:t xml:space="preserve"> </w:t>
      </w:r>
      <w:r w:rsidR="003570B7">
        <w:rPr>
          <w:color w:val="000000"/>
        </w:rPr>
        <w:t xml:space="preserve">pourraient par ailleurs </w:t>
      </w:r>
      <w:r w:rsidR="00E80607">
        <w:rPr>
          <w:color w:val="000000"/>
        </w:rPr>
        <w:t>soutenir la construction d’installation d’</w:t>
      </w:r>
      <w:proofErr w:type="spellStart"/>
      <w:r w:rsidR="00E80607">
        <w:rPr>
          <w:color w:val="000000"/>
        </w:rPr>
        <w:t>EnR</w:t>
      </w:r>
      <w:proofErr w:type="spellEnd"/>
      <w:r w:rsidR="00E80607">
        <w:rPr>
          <w:color w:val="000000"/>
        </w:rPr>
        <w:t>.</w:t>
      </w:r>
      <w:r>
        <w:rPr>
          <w:color w:val="000000"/>
        </w:rPr>
        <w:t xml:space="preserve"> </w:t>
      </w:r>
      <w:r w:rsidR="006E1CCB">
        <w:rPr>
          <w:color w:val="000000"/>
        </w:rPr>
        <w:t>Enfin</w:t>
      </w:r>
      <w:r>
        <w:rPr>
          <w:color w:val="000000"/>
        </w:rPr>
        <w:t xml:space="preserve">, l’innovation dans le domaine de l’énergie peut être appuyé par l’instrument </w:t>
      </w:r>
      <w:proofErr w:type="spellStart"/>
      <w:r>
        <w:rPr>
          <w:color w:val="000000"/>
        </w:rPr>
        <w:t>InnovFin</w:t>
      </w:r>
      <w:proofErr w:type="spellEnd"/>
      <w:r>
        <w:rPr>
          <w:color w:val="000000"/>
        </w:rPr>
        <w:t xml:space="preserve"> </w:t>
      </w:r>
      <w:proofErr w:type="spellStart"/>
      <w:r>
        <w:rPr>
          <w:color w:val="000000"/>
        </w:rPr>
        <w:t>Energy</w:t>
      </w:r>
      <w:proofErr w:type="spellEnd"/>
      <w:r>
        <w:rPr>
          <w:color w:val="000000"/>
        </w:rPr>
        <w:t xml:space="preserve"> </w:t>
      </w:r>
      <w:proofErr w:type="spellStart"/>
      <w:r>
        <w:rPr>
          <w:color w:val="000000"/>
        </w:rPr>
        <w:t>Demo</w:t>
      </w:r>
      <w:proofErr w:type="spellEnd"/>
      <w:r>
        <w:rPr>
          <w:color w:val="000000"/>
        </w:rPr>
        <w:t xml:space="preserve"> </w:t>
      </w:r>
      <w:proofErr w:type="spellStart"/>
      <w:r>
        <w:rPr>
          <w:color w:val="000000"/>
        </w:rPr>
        <w:t>Projects</w:t>
      </w:r>
      <w:proofErr w:type="spellEnd"/>
      <w:r>
        <w:rPr>
          <w:color w:val="000000"/>
        </w:rPr>
        <w:t>.</w:t>
      </w:r>
    </w:p>
    <w:p w14:paraId="4754C719" w14:textId="0E5E314D" w:rsidR="007F0459" w:rsidRDefault="00F34515" w:rsidP="00825859">
      <w:pPr>
        <w:pStyle w:val="Paragraphedeliste"/>
        <w:numPr>
          <w:ilvl w:val="0"/>
          <w:numId w:val="5"/>
        </w:numPr>
        <w:pBdr>
          <w:top w:val="nil"/>
          <w:left w:val="nil"/>
          <w:bottom w:val="nil"/>
          <w:right w:val="nil"/>
          <w:between w:val="nil"/>
        </w:pBdr>
        <w:jc w:val="both"/>
        <w:rPr>
          <w:color w:val="000000"/>
        </w:rPr>
      </w:pPr>
      <w:r w:rsidRPr="006E1CCB">
        <w:rPr>
          <w:b/>
          <w:bCs/>
          <w:color w:val="000000"/>
        </w:rPr>
        <w:t>La m</w:t>
      </w:r>
      <w:r w:rsidR="007F0459" w:rsidRPr="006E1CCB">
        <w:rPr>
          <w:b/>
          <w:bCs/>
          <w:color w:val="000000"/>
        </w:rPr>
        <w:t>obilité</w:t>
      </w:r>
      <w:r w:rsidR="007F0459">
        <w:rPr>
          <w:color w:val="000000"/>
        </w:rPr>
        <w:t xml:space="preserve"> : </w:t>
      </w:r>
      <w:r w:rsidR="006E1CCB">
        <w:rPr>
          <w:color w:val="000000"/>
        </w:rPr>
        <w:t xml:space="preserve">notamment via </w:t>
      </w:r>
      <w:r>
        <w:rPr>
          <w:color w:val="000000"/>
        </w:rPr>
        <w:t>l’instrument de prêt du Mécanisme pour l’interconnexion en Europe</w:t>
      </w:r>
      <w:r w:rsidR="00583A28">
        <w:rPr>
          <w:color w:val="000000"/>
        </w:rPr>
        <w:t xml:space="preserve"> (MIE ou </w:t>
      </w:r>
      <w:proofErr w:type="spellStart"/>
      <w:r w:rsidR="00583A28">
        <w:rPr>
          <w:color w:val="000000"/>
        </w:rPr>
        <w:t>Connecting</w:t>
      </w:r>
      <w:proofErr w:type="spellEnd"/>
      <w:r w:rsidR="00583A28">
        <w:rPr>
          <w:color w:val="000000"/>
        </w:rPr>
        <w:t xml:space="preserve"> Europe Facility – CEF)</w:t>
      </w:r>
      <w:r>
        <w:rPr>
          <w:color w:val="000000"/>
        </w:rPr>
        <w:t xml:space="preserve"> géré par la BEI</w:t>
      </w:r>
      <w:r w:rsidR="006E1CCB">
        <w:rPr>
          <w:color w:val="000000"/>
        </w:rPr>
        <w:t>, qui finance</w:t>
      </w:r>
      <w:r>
        <w:rPr>
          <w:color w:val="000000"/>
        </w:rPr>
        <w:t xml:space="preserve"> des projets de grande envergure de mobilité</w:t>
      </w:r>
      <w:r w:rsidR="00566421">
        <w:rPr>
          <w:color w:val="000000"/>
        </w:rPr>
        <w:t xml:space="preserve"> tels que des flottes de véhicules propres, des nœuds multimodaux, etc.</w:t>
      </w:r>
    </w:p>
    <w:p w14:paraId="1A66F72E" w14:textId="20850705" w:rsidR="00640A51" w:rsidRDefault="006E1CCB" w:rsidP="00825859">
      <w:pPr>
        <w:pStyle w:val="Paragraphedeliste"/>
        <w:numPr>
          <w:ilvl w:val="0"/>
          <w:numId w:val="5"/>
        </w:numPr>
        <w:pBdr>
          <w:top w:val="nil"/>
          <w:left w:val="nil"/>
          <w:bottom w:val="nil"/>
          <w:right w:val="nil"/>
          <w:between w:val="nil"/>
        </w:pBdr>
        <w:jc w:val="both"/>
        <w:rPr>
          <w:color w:val="000000"/>
        </w:rPr>
      </w:pPr>
      <w:r w:rsidRPr="006E1CCB">
        <w:rPr>
          <w:b/>
          <w:bCs/>
          <w:color w:val="000000"/>
        </w:rPr>
        <w:t>La d</w:t>
      </w:r>
      <w:r w:rsidR="00640A51" w:rsidRPr="006E1CCB">
        <w:rPr>
          <w:b/>
          <w:bCs/>
          <w:color w:val="000000"/>
        </w:rPr>
        <w:t>écarbonation de l’industrie</w:t>
      </w:r>
      <w:r w:rsidR="00640A51">
        <w:rPr>
          <w:color w:val="000000"/>
        </w:rPr>
        <w:t xml:space="preserve"> : </w:t>
      </w:r>
      <w:r>
        <w:rPr>
          <w:color w:val="000000"/>
        </w:rPr>
        <w:t>les dispositifs de financement de la BEI dédiés au secteur privés pourraient être mobilisés en ce sens.</w:t>
      </w:r>
    </w:p>
    <w:p w14:paraId="7B25652B" w14:textId="77777777" w:rsidR="007F0459" w:rsidRDefault="00F26E96" w:rsidP="00825859">
      <w:pPr>
        <w:pStyle w:val="Paragraphedeliste"/>
        <w:numPr>
          <w:ilvl w:val="0"/>
          <w:numId w:val="5"/>
        </w:numPr>
        <w:pBdr>
          <w:top w:val="nil"/>
          <w:left w:val="nil"/>
          <w:bottom w:val="nil"/>
          <w:right w:val="nil"/>
          <w:between w:val="nil"/>
        </w:pBdr>
        <w:jc w:val="both"/>
        <w:rPr>
          <w:color w:val="000000"/>
        </w:rPr>
      </w:pPr>
      <w:r w:rsidRPr="00F26E96">
        <w:rPr>
          <w:b/>
          <w:bCs/>
          <w:color w:val="000000"/>
        </w:rPr>
        <w:t>Les s</w:t>
      </w:r>
      <w:r w:rsidR="007F0459" w:rsidRPr="00F26E96">
        <w:rPr>
          <w:b/>
          <w:bCs/>
          <w:color w:val="000000"/>
        </w:rPr>
        <w:t>ols et friches</w:t>
      </w:r>
      <w:r w:rsidR="007F0459">
        <w:rPr>
          <w:color w:val="000000"/>
        </w:rPr>
        <w:t xml:space="preserve"> : </w:t>
      </w:r>
      <w:r>
        <w:rPr>
          <w:color w:val="000000"/>
        </w:rPr>
        <w:t>par l’investissement de la BEI dans des fonds dédiés ou par des prêts-cadres à l’investissement à long terme du secteur public.</w:t>
      </w:r>
    </w:p>
    <w:p w14:paraId="64A70B12" w14:textId="2A30B545" w:rsidR="007F0459" w:rsidRDefault="00F26E96" w:rsidP="00825859">
      <w:pPr>
        <w:pStyle w:val="Paragraphedeliste"/>
        <w:numPr>
          <w:ilvl w:val="0"/>
          <w:numId w:val="5"/>
        </w:numPr>
        <w:pBdr>
          <w:top w:val="nil"/>
          <w:left w:val="nil"/>
          <w:bottom w:val="nil"/>
          <w:right w:val="nil"/>
          <w:between w:val="nil"/>
        </w:pBdr>
        <w:jc w:val="both"/>
        <w:rPr>
          <w:color w:val="000000"/>
        </w:rPr>
      </w:pPr>
      <w:r w:rsidRPr="00F26E96">
        <w:rPr>
          <w:b/>
          <w:bCs/>
          <w:color w:val="000000"/>
        </w:rPr>
        <w:t>L’a</w:t>
      </w:r>
      <w:r w:rsidR="007F0459" w:rsidRPr="00F26E96">
        <w:rPr>
          <w:b/>
          <w:bCs/>
          <w:color w:val="000000"/>
        </w:rPr>
        <w:t xml:space="preserve">griculture et </w:t>
      </w:r>
      <w:r w:rsidRPr="00F26E96">
        <w:rPr>
          <w:b/>
          <w:bCs/>
          <w:color w:val="000000"/>
        </w:rPr>
        <w:t xml:space="preserve">la </w:t>
      </w:r>
      <w:r w:rsidR="007F0459" w:rsidRPr="00F26E96">
        <w:rPr>
          <w:b/>
          <w:bCs/>
          <w:color w:val="000000"/>
        </w:rPr>
        <w:t>forêt</w:t>
      </w:r>
      <w:r w:rsidR="007F0459">
        <w:rPr>
          <w:color w:val="000000"/>
        </w:rPr>
        <w:t xml:space="preserve"> : </w:t>
      </w:r>
      <w:r w:rsidR="00BC22A4">
        <w:rPr>
          <w:color w:val="000000"/>
        </w:rPr>
        <w:t>l’ECBF</w:t>
      </w:r>
      <w:r w:rsidR="00583A28" w:rsidRPr="00583A28">
        <w:rPr>
          <w:color w:val="000000"/>
        </w:rPr>
        <w:t xml:space="preserve"> </w:t>
      </w:r>
      <w:r w:rsidR="00583A28">
        <w:rPr>
          <w:color w:val="000000"/>
        </w:rPr>
        <w:t>(</w:t>
      </w:r>
      <w:proofErr w:type="spellStart"/>
      <w:r w:rsidR="00583A28">
        <w:rPr>
          <w:color w:val="000000"/>
        </w:rPr>
        <w:t>European</w:t>
      </w:r>
      <w:proofErr w:type="spellEnd"/>
      <w:r w:rsidR="00583A28">
        <w:rPr>
          <w:color w:val="000000"/>
        </w:rPr>
        <w:t xml:space="preserve"> </w:t>
      </w:r>
      <w:proofErr w:type="spellStart"/>
      <w:r w:rsidR="00583A28">
        <w:rPr>
          <w:color w:val="000000"/>
        </w:rPr>
        <w:t>Circular</w:t>
      </w:r>
      <w:proofErr w:type="spellEnd"/>
      <w:r w:rsidR="00583A28">
        <w:rPr>
          <w:color w:val="000000"/>
        </w:rPr>
        <w:t xml:space="preserve"> </w:t>
      </w:r>
      <w:proofErr w:type="spellStart"/>
      <w:r w:rsidR="00583A28">
        <w:rPr>
          <w:color w:val="000000"/>
        </w:rPr>
        <w:t>Bioeconomy</w:t>
      </w:r>
      <w:proofErr w:type="spellEnd"/>
      <w:r w:rsidR="007B2083">
        <w:rPr>
          <w:color w:val="000000"/>
        </w:rPr>
        <w:t xml:space="preserve"> </w:t>
      </w:r>
      <w:proofErr w:type="spellStart"/>
      <w:r w:rsidR="007B2083">
        <w:rPr>
          <w:color w:val="000000"/>
        </w:rPr>
        <w:t>Fund</w:t>
      </w:r>
      <w:proofErr w:type="spellEnd"/>
      <w:r w:rsidR="00583A28">
        <w:rPr>
          <w:color w:val="000000"/>
        </w:rPr>
        <w:t>)</w:t>
      </w:r>
      <w:r w:rsidR="00BC22A4">
        <w:rPr>
          <w:color w:val="000000"/>
        </w:rPr>
        <w:t>, un fonds de capital-risque</w:t>
      </w:r>
      <w:r w:rsidR="0017435B">
        <w:rPr>
          <w:color w:val="000000"/>
        </w:rPr>
        <w:t xml:space="preserve"> abondé par la BEI, peut financer des entreprises ou projets </w:t>
      </w:r>
      <w:r w:rsidR="00BC22A4">
        <w:rPr>
          <w:color w:val="000000"/>
        </w:rPr>
        <w:t xml:space="preserve">très </w:t>
      </w:r>
      <w:r w:rsidR="0017435B">
        <w:rPr>
          <w:color w:val="000000"/>
        </w:rPr>
        <w:t>innovants du secteur de la bioéconomie, y compris l’agriculture et la sylviculture.</w:t>
      </w:r>
      <w:r w:rsidR="00BC22A4">
        <w:rPr>
          <w:color w:val="000000"/>
        </w:rPr>
        <w:t xml:space="preserve"> Par ailleurs des PME ou ETI pourraient avoir accès à des prêts intermédiés de la BEI</w:t>
      </w:r>
      <w:r w:rsidR="001377C2">
        <w:rPr>
          <w:rStyle w:val="Appelnotedebasdep"/>
          <w:color w:val="000000"/>
        </w:rPr>
        <w:footnoteReference w:id="1"/>
      </w:r>
      <w:r w:rsidR="00BC22A4">
        <w:rPr>
          <w:color w:val="000000"/>
        </w:rPr>
        <w:t>.</w:t>
      </w:r>
    </w:p>
    <w:p w14:paraId="77609378" w14:textId="736055E7" w:rsidR="007F0459" w:rsidRDefault="00FE6A6B" w:rsidP="00825859">
      <w:pPr>
        <w:pStyle w:val="Paragraphedeliste"/>
        <w:numPr>
          <w:ilvl w:val="0"/>
          <w:numId w:val="5"/>
        </w:numPr>
        <w:pBdr>
          <w:top w:val="nil"/>
          <w:left w:val="nil"/>
          <w:bottom w:val="nil"/>
          <w:right w:val="nil"/>
          <w:between w:val="nil"/>
        </w:pBdr>
        <w:jc w:val="both"/>
        <w:rPr>
          <w:color w:val="000000"/>
        </w:rPr>
      </w:pPr>
      <w:r w:rsidRPr="00FE6A6B">
        <w:rPr>
          <w:b/>
          <w:bCs/>
          <w:color w:val="000000"/>
        </w:rPr>
        <w:t>L’eau</w:t>
      </w:r>
      <w:r w:rsidR="005335FA">
        <w:rPr>
          <w:b/>
          <w:bCs/>
          <w:color w:val="000000"/>
        </w:rPr>
        <w:t xml:space="preserve"> et l’adaptation au changement climatique</w:t>
      </w:r>
      <w:r w:rsidR="007F0459" w:rsidRPr="00FE6A6B">
        <w:rPr>
          <w:b/>
          <w:bCs/>
          <w:color w:val="000000"/>
        </w:rPr>
        <w:t> </w:t>
      </w:r>
      <w:r w:rsidR="007F0459">
        <w:rPr>
          <w:color w:val="000000"/>
        </w:rPr>
        <w:t xml:space="preserve">: </w:t>
      </w:r>
      <w:r>
        <w:rPr>
          <w:color w:val="000000"/>
        </w:rPr>
        <w:t xml:space="preserve">le </w:t>
      </w:r>
      <w:r>
        <w:rPr>
          <w:i/>
          <w:iCs/>
          <w:color w:val="000000"/>
        </w:rPr>
        <w:t xml:space="preserve">Natural Capital </w:t>
      </w:r>
      <w:proofErr w:type="spellStart"/>
      <w:r>
        <w:rPr>
          <w:i/>
          <w:iCs/>
          <w:color w:val="000000"/>
        </w:rPr>
        <w:t>Financing</w:t>
      </w:r>
      <w:proofErr w:type="spellEnd"/>
      <w:r>
        <w:rPr>
          <w:i/>
          <w:iCs/>
          <w:color w:val="000000"/>
        </w:rPr>
        <w:t xml:space="preserve"> Facility</w:t>
      </w:r>
      <w:r>
        <w:rPr>
          <w:color w:val="000000"/>
        </w:rPr>
        <w:t xml:space="preserve"> (NCFF) peut financer des projets en lien avec la gestion des inondations ou des sécheresses via le recours à des solutions fondées sur la nature et proposant des modèles économiques innovants (se référer à la fiche dédiée).</w:t>
      </w:r>
    </w:p>
    <w:p w14:paraId="51CC845D" w14:textId="2DC26D58" w:rsidR="003521DA" w:rsidRDefault="003521DA" w:rsidP="00825859">
      <w:pPr>
        <w:pStyle w:val="Paragraphedeliste"/>
        <w:numPr>
          <w:ilvl w:val="0"/>
          <w:numId w:val="5"/>
        </w:numPr>
        <w:pBdr>
          <w:top w:val="nil"/>
          <w:left w:val="nil"/>
          <w:bottom w:val="nil"/>
          <w:right w:val="nil"/>
          <w:between w:val="nil"/>
        </w:pBdr>
        <w:jc w:val="both"/>
        <w:rPr>
          <w:color w:val="000000"/>
        </w:rPr>
      </w:pPr>
      <w:r>
        <w:rPr>
          <w:b/>
          <w:bCs/>
          <w:color w:val="000000"/>
        </w:rPr>
        <w:t>La qualité de l’air :</w:t>
      </w:r>
      <w:r>
        <w:rPr>
          <w:color w:val="000000"/>
        </w:rPr>
        <w:t xml:space="preserve"> en appuyant des investissements dédiés par exemple à modifier des équipements moins émetteurs en termes de particules.</w:t>
      </w:r>
    </w:p>
    <w:p w14:paraId="4F064BF1" w14:textId="5984BA3A" w:rsidR="007F0459" w:rsidRDefault="00FE6A6B" w:rsidP="00825859">
      <w:pPr>
        <w:pStyle w:val="Paragraphedeliste"/>
        <w:numPr>
          <w:ilvl w:val="0"/>
          <w:numId w:val="5"/>
        </w:numPr>
        <w:pBdr>
          <w:top w:val="nil"/>
          <w:left w:val="nil"/>
          <w:bottom w:val="nil"/>
          <w:right w:val="nil"/>
          <w:between w:val="nil"/>
        </w:pBdr>
        <w:jc w:val="both"/>
        <w:rPr>
          <w:color w:val="000000"/>
        </w:rPr>
      </w:pPr>
      <w:r>
        <w:rPr>
          <w:b/>
          <w:bCs/>
          <w:color w:val="000000"/>
        </w:rPr>
        <w:t>La biodiversité</w:t>
      </w:r>
      <w:r w:rsidR="007F0459">
        <w:rPr>
          <w:color w:val="000000"/>
        </w:rPr>
        <w:t xml:space="preserve"> : le </w:t>
      </w:r>
      <w:r>
        <w:rPr>
          <w:color w:val="000000"/>
        </w:rPr>
        <w:t>NCFF</w:t>
      </w:r>
      <w:r w:rsidR="00583A28">
        <w:rPr>
          <w:color w:val="000000"/>
        </w:rPr>
        <w:t xml:space="preserve"> </w:t>
      </w:r>
      <w:r>
        <w:rPr>
          <w:color w:val="000000"/>
        </w:rPr>
        <w:t>est le principal instrument géré par la BEI orienté vers les enjeux de biodiversité (se référer à la fiche dédiée).</w:t>
      </w:r>
    </w:p>
    <w:p w14:paraId="691E5222" w14:textId="77777777" w:rsidR="00932D39" w:rsidRDefault="00932D39" w:rsidP="00825859">
      <w:pPr>
        <w:pStyle w:val="EnvTitreparagraphe"/>
        <w:numPr>
          <w:ilvl w:val="0"/>
          <w:numId w:val="4"/>
        </w:numPr>
        <w:rPr>
          <w:sz w:val="24"/>
          <w:szCs w:val="24"/>
        </w:rPr>
      </w:pPr>
      <w:r>
        <w:rPr>
          <w:sz w:val="24"/>
          <w:szCs w:val="24"/>
        </w:rPr>
        <w:t>Description du programme</w:t>
      </w:r>
    </w:p>
    <w:p w14:paraId="4B41CF86" w14:textId="77777777" w:rsidR="00CC781C" w:rsidRDefault="000839EC">
      <w:pPr>
        <w:pStyle w:val="Titre1"/>
        <w:ind w:firstLine="360"/>
      </w:pPr>
      <w:sdt>
        <w:sdtPr>
          <w:tag w:val="goog_rdk_5"/>
          <w:id w:val="-1889330677"/>
        </w:sdtPr>
        <w:sdtEndPr/>
        <w:sdtContent/>
      </w:sdt>
      <w:r w:rsidR="008F7158">
        <w:t>Présentation générale</w:t>
      </w:r>
    </w:p>
    <w:p w14:paraId="36C3141C" w14:textId="77777777" w:rsidR="00797516" w:rsidRDefault="00797516" w:rsidP="00640A51"/>
    <w:p w14:paraId="74E73422" w14:textId="77777777" w:rsidR="007D5BAC" w:rsidRDefault="007D5BAC" w:rsidP="007A3D7B">
      <w:pPr>
        <w:jc w:val="both"/>
      </w:pPr>
      <w:r>
        <w:t>Créée en 1958</w:t>
      </w:r>
      <w:r w:rsidR="007A3D7B">
        <w:t xml:space="preserve">, la Banque européenne d’investissement (BEI) est l’institution de financement de l’Union européenne. Elle propose des </w:t>
      </w:r>
      <w:r w:rsidR="007A3D7B" w:rsidRPr="00E66010">
        <w:rPr>
          <w:b/>
          <w:bCs/>
        </w:rPr>
        <w:t xml:space="preserve">prêts, des garanties, des investissements en fonds propres et des services de conseils </w:t>
      </w:r>
      <w:r w:rsidR="007A3D7B">
        <w:t xml:space="preserve">en faveur de projets alignés avec </w:t>
      </w:r>
      <w:r w:rsidR="007A3D7B" w:rsidRPr="00CC16E3">
        <w:t>les priorités et les objectifs de l’Union européenne</w:t>
      </w:r>
      <w:r w:rsidR="007E68F1">
        <w:t>, à savoir :</w:t>
      </w:r>
      <w:r w:rsidR="00781F9A" w:rsidRPr="00CC16E3">
        <w:rPr>
          <w:b/>
          <w:bCs/>
        </w:rPr>
        <w:t xml:space="preserve"> </w:t>
      </w:r>
      <w:r w:rsidR="007A3D7B" w:rsidRPr="00CC16E3">
        <w:rPr>
          <w:b/>
          <w:bCs/>
        </w:rPr>
        <w:t>climat et durabilité environnementale, innovation, infrastructures, PME, cohésion</w:t>
      </w:r>
      <w:r w:rsidR="007E68F1">
        <w:rPr>
          <w:b/>
          <w:bCs/>
        </w:rPr>
        <w:t xml:space="preserve"> et</w:t>
      </w:r>
      <w:r w:rsidR="007A3D7B" w:rsidRPr="00CC16E3">
        <w:rPr>
          <w:b/>
          <w:bCs/>
        </w:rPr>
        <w:t xml:space="preserve"> développement économique</w:t>
      </w:r>
      <w:r w:rsidR="007A3D7B">
        <w:t>.</w:t>
      </w:r>
    </w:p>
    <w:p w14:paraId="64C804DE" w14:textId="77777777" w:rsidR="007A3D7B" w:rsidRDefault="007A3D7B" w:rsidP="007A3D7B">
      <w:pPr>
        <w:jc w:val="both"/>
      </w:pPr>
    </w:p>
    <w:p w14:paraId="686FB70D" w14:textId="77777777" w:rsidR="007A3D7B" w:rsidRDefault="007A3D7B" w:rsidP="007A3D7B">
      <w:pPr>
        <w:jc w:val="both"/>
      </w:pPr>
      <w:r>
        <w:t xml:space="preserve">En 2019, le groupe BEI a adopté </w:t>
      </w:r>
      <w:r w:rsidRPr="00E66010">
        <w:rPr>
          <w:b/>
          <w:bCs/>
        </w:rPr>
        <w:t>une feuille de route faisant d’elle la « banque européenne du climat »</w:t>
      </w:r>
      <w:r>
        <w:t>, avec pour objectifs :</w:t>
      </w:r>
    </w:p>
    <w:p w14:paraId="20CE57F9" w14:textId="2A4DA25F" w:rsidR="007A3D7B" w:rsidRDefault="007A3D7B" w:rsidP="00825859">
      <w:pPr>
        <w:pStyle w:val="Paragraphedeliste"/>
        <w:numPr>
          <w:ilvl w:val="0"/>
          <w:numId w:val="6"/>
        </w:numPr>
        <w:jc w:val="both"/>
      </w:pPr>
      <w:r>
        <w:t>La mobilisation de 1000 milliards</w:t>
      </w:r>
      <w:r w:rsidR="007E68F1">
        <w:t xml:space="preserve"> d’euros</w:t>
      </w:r>
      <w:r>
        <w:t xml:space="preserve"> d’investissements à l’appui de l’action pour le climat et de la durabilité environnementale au cours de la décennie 2021-2030</w:t>
      </w:r>
      <w:r w:rsidR="001377C2">
        <w:t>.</w:t>
      </w:r>
    </w:p>
    <w:p w14:paraId="2711B4AA" w14:textId="304098E0" w:rsidR="007A3D7B" w:rsidRDefault="007A3D7B" w:rsidP="00825859">
      <w:pPr>
        <w:pStyle w:val="Paragraphedeliste"/>
        <w:numPr>
          <w:ilvl w:val="0"/>
          <w:numId w:val="6"/>
        </w:numPr>
        <w:jc w:val="both"/>
      </w:pPr>
      <w:r>
        <w:lastRenderedPageBreak/>
        <w:t xml:space="preserve">L’augmentation de la part de ses financements consacrés à l’action climatique et à la durabilité environnementale </w:t>
      </w:r>
      <w:r w:rsidRPr="001377C2">
        <w:t xml:space="preserve">à </w:t>
      </w:r>
      <w:r w:rsidR="007E68F1" w:rsidRPr="001377C2">
        <w:rPr>
          <w:b/>
          <w:bCs/>
        </w:rPr>
        <w:t xml:space="preserve">hauteur de </w:t>
      </w:r>
      <w:r w:rsidRPr="001377C2">
        <w:rPr>
          <w:b/>
          <w:bCs/>
        </w:rPr>
        <w:t>50% de ses opérations à partir de 2025</w:t>
      </w:r>
      <w:r w:rsidR="001377C2">
        <w:t xml:space="preserve">. </w:t>
      </w:r>
      <w:r w:rsidR="00A17413" w:rsidRPr="00A17413">
        <w:t xml:space="preserve"> </w:t>
      </w:r>
      <w:r w:rsidR="00A17413">
        <w:t>Les trois prochaines années sont donc déterminantes pour se positionner en tant que porteur de projets auprès de la BEI.</w:t>
      </w:r>
    </w:p>
    <w:p w14:paraId="6D4CA2FD" w14:textId="77777777" w:rsidR="007A3D7B" w:rsidRDefault="0055729B" w:rsidP="00825859">
      <w:pPr>
        <w:pStyle w:val="Paragraphedeliste"/>
        <w:numPr>
          <w:ilvl w:val="0"/>
          <w:numId w:val="6"/>
        </w:numPr>
        <w:jc w:val="both"/>
      </w:pPr>
      <w:r>
        <w:t>L’a</w:t>
      </w:r>
      <w:r w:rsidR="00E66010">
        <w:t>lignement de l’ensemble de ses activités de financement sur les princip</w:t>
      </w:r>
      <w:r w:rsidR="00CC16E3">
        <w:t>e</w:t>
      </w:r>
      <w:r w:rsidR="00E66010">
        <w:t>s et objectifs de l’accord de Paris.</w:t>
      </w:r>
    </w:p>
    <w:p w14:paraId="3015BDD2" w14:textId="77777777" w:rsidR="00CC781C" w:rsidRDefault="00781F9A" w:rsidP="00CC16E3">
      <w:pPr>
        <w:jc w:val="both"/>
      </w:pPr>
      <w:r>
        <w:t>En France, la BEI finance d’ores et déjà des projets de transition écologique et énergétique (énergies renouvelables, rénovation énergétique des bâtiments, innovations technologiques, économie circulaire, etc.).</w:t>
      </w:r>
    </w:p>
    <w:p w14:paraId="4D1FE925" w14:textId="77777777" w:rsidR="00CC781C" w:rsidRDefault="008F7158">
      <w:pPr>
        <w:pStyle w:val="Titre1"/>
        <w:ind w:firstLine="360"/>
      </w:pPr>
      <w:r>
        <w:t>Types de projets éligibles</w:t>
      </w:r>
    </w:p>
    <w:p w14:paraId="5C4011B2" w14:textId="77777777" w:rsidR="00CC781C" w:rsidRDefault="00CC781C">
      <w:pPr>
        <w:tabs>
          <w:tab w:val="left" w:pos="1307"/>
        </w:tabs>
        <w:jc w:val="both"/>
      </w:pPr>
    </w:p>
    <w:p w14:paraId="20F3D107" w14:textId="77777777" w:rsidR="00FA7AFA" w:rsidRDefault="000839EC" w:rsidP="007E68F1">
      <w:pPr>
        <w:jc w:val="both"/>
      </w:pPr>
      <w:hyperlink r:id="rId12" w:history="1">
        <w:r w:rsidR="00FA7AFA" w:rsidRPr="00FA7AFA">
          <w:rPr>
            <w:rStyle w:val="Lienhypertexte"/>
          </w:rPr>
          <w:t>L’offre de la BEI</w:t>
        </w:r>
      </w:hyperlink>
      <w:r w:rsidR="00FA7AFA">
        <w:t xml:space="preserve"> est très vaste et variée. Les types d’appui qui semblent </w:t>
      </w:r>
      <w:r w:rsidR="00731DF1">
        <w:t>particulièrement pertinents</w:t>
      </w:r>
      <w:r w:rsidR="00FA7AFA">
        <w:t xml:space="preserve"> pour répondre aux enjeux de la transition écologique et énergétique dans le Grand Est sont décrits ci-après.</w:t>
      </w:r>
    </w:p>
    <w:p w14:paraId="44A6BA95" w14:textId="77777777" w:rsidR="0074232F" w:rsidRDefault="0074232F">
      <w:pPr>
        <w:rPr>
          <w:b/>
          <w:bCs/>
          <w:i/>
          <w:iCs/>
          <w:color w:val="8064A2" w:themeColor="accent4"/>
          <w:sz w:val="24"/>
          <w:szCs w:val="24"/>
        </w:rPr>
      </w:pPr>
    </w:p>
    <w:p w14:paraId="4B50B314" w14:textId="77777777" w:rsidR="00E341CB" w:rsidRPr="003C7AC8" w:rsidRDefault="00E341CB" w:rsidP="00E341CB">
      <w:pPr>
        <w:pStyle w:val="Style1"/>
      </w:pPr>
      <w:r>
        <w:t xml:space="preserve">Financement de programmes d’investissement à long terme </w:t>
      </w:r>
      <w:r w:rsidR="0065532F">
        <w:t>du secteur public</w:t>
      </w:r>
    </w:p>
    <w:p w14:paraId="71F2F502" w14:textId="77777777" w:rsidR="00E341CB" w:rsidRDefault="00E341CB" w:rsidP="00797516"/>
    <w:p w14:paraId="10AE3967" w14:textId="77777777" w:rsidR="0065532F" w:rsidRPr="00DB501E" w:rsidRDefault="0065532F" w:rsidP="00646C64">
      <w:pPr>
        <w:jc w:val="center"/>
        <w:rPr>
          <w:b/>
          <w:bCs/>
          <w:u w:val="single"/>
        </w:rPr>
      </w:pPr>
      <w:r w:rsidRPr="00DB501E">
        <w:rPr>
          <w:b/>
          <w:bCs/>
          <w:u w:val="single"/>
        </w:rPr>
        <w:t>Les prêts-cadres pour le secteur public</w:t>
      </w:r>
      <w:r w:rsidR="00EA0E8A">
        <w:rPr>
          <w:b/>
          <w:bCs/>
          <w:u w:val="single"/>
        </w:rPr>
        <w:t> : un prêt pour plusieurs projets</w:t>
      </w:r>
    </w:p>
    <w:p w14:paraId="06DCD8A6" w14:textId="77777777" w:rsidR="00AB15DE" w:rsidRDefault="00AB15DE" w:rsidP="00797516">
      <w:pPr>
        <w:rPr>
          <w:b/>
          <w:bCs/>
          <w:sz w:val="24"/>
          <w:szCs w:val="24"/>
          <w:u w:val="single"/>
        </w:rPr>
      </w:pPr>
    </w:p>
    <w:tbl>
      <w:tblPr>
        <w:tblStyle w:val="Grilledutableau"/>
        <w:tblW w:w="9776" w:type="dxa"/>
        <w:tblLook w:val="04A0" w:firstRow="1" w:lastRow="0" w:firstColumn="1" w:lastColumn="0" w:noHBand="0" w:noVBand="1"/>
      </w:tblPr>
      <w:tblGrid>
        <w:gridCol w:w="2547"/>
        <w:gridCol w:w="2410"/>
        <w:gridCol w:w="2622"/>
        <w:gridCol w:w="2197"/>
      </w:tblGrid>
      <w:tr w:rsidR="00AB15DE" w14:paraId="20394395" w14:textId="77777777" w:rsidTr="00AB15DE">
        <w:tc>
          <w:tcPr>
            <w:tcW w:w="9776" w:type="dxa"/>
            <w:gridSpan w:val="4"/>
            <w:shd w:val="clear" w:color="auto" w:fill="5F497A" w:themeFill="accent4" w:themeFillShade="BF"/>
          </w:tcPr>
          <w:p w14:paraId="616FFC91" w14:textId="77777777" w:rsidR="00AB15DE" w:rsidRPr="00AB15DE" w:rsidRDefault="00AB15DE" w:rsidP="00AB15DE">
            <w:pPr>
              <w:jc w:val="center"/>
              <w:rPr>
                <w:b/>
                <w:bCs/>
                <w:color w:val="FFFFFF" w:themeColor="background1"/>
              </w:rPr>
            </w:pPr>
            <w:r>
              <w:rPr>
                <w:b/>
                <w:bCs/>
                <w:color w:val="FFFFFF" w:themeColor="background1"/>
              </w:rPr>
              <w:t>Caractéristiques clefs</w:t>
            </w:r>
          </w:p>
        </w:tc>
      </w:tr>
      <w:tr w:rsidR="00AB15DE" w14:paraId="1ECA4F6D" w14:textId="77777777" w:rsidTr="00646C64">
        <w:tc>
          <w:tcPr>
            <w:tcW w:w="2547" w:type="dxa"/>
            <w:shd w:val="clear" w:color="auto" w:fill="B2A1C7" w:themeFill="accent4" w:themeFillTint="99"/>
          </w:tcPr>
          <w:p w14:paraId="4FE27D1A" w14:textId="77777777" w:rsidR="00AB15DE" w:rsidRDefault="00AB15DE" w:rsidP="00AB15DE">
            <w:pPr>
              <w:rPr>
                <w:b/>
                <w:bCs/>
                <w:sz w:val="24"/>
                <w:szCs w:val="24"/>
                <w:u w:val="single"/>
              </w:rPr>
            </w:pPr>
            <w:r w:rsidRPr="00AB15DE">
              <w:rPr>
                <w:b/>
                <w:bCs/>
              </w:rPr>
              <w:t>Principe général</w:t>
            </w:r>
          </w:p>
        </w:tc>
        <w:tc>
          <w:tcPr>
            <w:tcW w:w="2410" w:type="dxa"/>
            <w:shd w:val="clear" w:color="auto" w:fill="B2A1C7" w:themeFill="accent4" w:themeFillTint="99"/>
          </w:tcPr>
          <w:p w14:paraId="3EE61D58" w14:textId="77777777" w:rsidR="00AB15DE" w:rsidRPr="00AB15DE" w:rsidRDefault="00AB15DE" w:rsidP="00AB15DE">
            <w:pPr>
              <w:rPr>
                <w:b/>
                <w:bCs/>
              </w:rPr>
            </w:pPr>
            <w:r w:rsidRPr="00F52B67">
              <w:rPr>
                <w:b/>
                <w:bCs/>
              </w:rPr>
              <w:t>Porteurs éligibles</w:t>
            </w:r>
          </w:p>
        </w:tc>
        <w:tc>
          <w:tcPr>
            <w:tcW w:w="2622" w:type="dxa"/>
            <w:shd w:val="clear" w:color="auto" w:fill="B2A1C7" w:themeFill="accent4" w:themeFillTint="99"/>
          </w:tcPr>
          <w:p w14:paraId="1D009D13" w14:textId="77777777" w:rsidR="00AB15DE" w:rsidRPr="00AB15DE" w:rsidRDefault="00AB15DE" w:rsidP="00AB15DE">
            <w:pPr>
              <w:rPr>
                <w:b/>
                <w:bCs/>
              </w:rPr>
            </w:pPr>
            <w:r>
              <w:rPr>
                <w:b/>
                <w:bCs/>
              </w:rPr>
              <w:t>Dispositions financières</w:t>
            </w:r>
          </w:p>
        </w:tc>
        <w:tc>
          <w:tcPr>
            <w:tcW w:w="2197" w:type="dxa"/>
            <w:shd w:val="clear" w:color="auto" w:fill="B2A1C7" w:themeFill="accent4" w:themeFillTint="99"/>
          </w:tcPr>
          <w:p w14:paraId="3B96AF27" w14:textId="77777777" w:rsidR="00AB15DE" w:rsidRPr="00AB15DE" w:rsidRDefault="00AB15DE" w:rsidP="00AB15DE">
            <w:pPr>
              <w:rPr>
                <w:b/>
                <w:bCs/>
              </w:rPr>
            </w:pPr>
            <w:r w:rsidRPr="00AB15DE">
              <w:rPr>
                <w:b/>
                <w:bCs/>
              </w:rPr>
              <w:t>Durée</w:t>
            </w:r>
          </w:p>
        </w:tc>
      </w:tr>
      <w:tr w:rsidR="00AB15DE" w14:paraId="4D1CF964" w14:textId="77777777" w:rsidTr="00646C64">
        <w:tc>
          <w:tcPr>
            <w:tcW w:w="2547" w:type="dxa"/>
          </w:tcPr>
          <w:p w14:paraId="5255BD6C" w14:textId="77777777" w:rsidR="00646C64" w:rsidRPr="005C0AAC" w:rsidRDefault="00AB15DE" w:rsidP="00646C64">
            <w:pPr>
              <w:rPr>
                <w:sz w:val="20"/>
                <w:szCs w:val="20"/>
              </w:rPr>
            </w:pPr>
            <w:r w:rsidRPr="005C0AAC">
              <w:rPr>
                <w:sz w:val="20"/>
                <w:szCs w:val="20"/>
              </w:rPr>
              <w:t xml:space="preserve">Les prêts-cadre viennent en </w:t>
            </w:r>
            <w:r w:rsidRPr="005C0AAC">
              <w:rPr>
                <w:b/>
                <w:bCs/>
                <w:sz w:val="20"/>
                <w:szCs w:val="20"/>
              </w:rPr>
              <w:t>appui aux coûts d’investissement d’un programme d’investissement</w:t>
            </w:r>
            <w:r w:rsidR="00BF10F2">
              <w:rPr>
                <w:b/>
                <w:bCs/>
                <w:sz w:val="20"/>
                <w:szCs w:val="20"/>
              </w:rPr>
              <w:t xml:space="preserve"> porté par un acteur public,</w:t>
            </w:r>
            <w:r w:rsidR="00BF10F2">
              <w:rPr>
                <w:sz w:val="20"/>
                <w:szCs w:val="20"/>
              </w:rPr>
              <w:t xml:space="preserve"> destiné à financer des</w:t>
            </w:r>
            <w:r w:rsidRPr="005C0AAC">
              <w:rPr>
                <w:sz w:val="20"/>
                <w:szCs w:val="20"/>
              </w:rPr>
              <w:t xml:space="preserve"> projets de plus petite taille.</w:t>
            </w:r>
          </w:p>
          <w:p w14:paraId="3E50B43F" w14:textId="77777777" w:rsidR="00AB15DE" w:rsidRPr="005C0AAC" w:rsidRDefault="00646C64" w:rsidP="00AB15DE">
            <w:pPr>
              <w:rPr>
                <w:sz w:val="20"/>
                <w:szCs w:val="20"/>
              </w:rPr>
            </w:pPr>
            <w:r w:rsidRPr="005C0AAC">
              <w:rPr>
                <w:sz w:val="20"/>
                <w:szCs w:val="20"/>
              </w:rPr>
              <w:t>Les secteurs couverts par le programme d’investissement </w:t>
            </w:r>
            <w:r w:rsidR="00921481">
              <w:rPr>
                <w:sz w:val="20"/>
                <w:szCs w:val="20"/>
              </w:rPr>
              <w:t>sont très variés et comprennent</w:t>
            </w:r>
            <w:r w:rsidRPr="005C0AAC">
              <w:rPr>
                <w:sz w:val="20"/>
                <w:szCs w:val="20"/>
              </w:rPr>
              <w:t xml:space="preserve"> entre autres </w:t>
            </w:r>
            <w:r w:rsidRPr="005C0AAC">
              <w:rPr>
                <w:b/>
                <w:bCs/>
                <w:sz w:val="20"/>
                <w:szCs w:val="20"/>
              </w:rPr>
              <w:t>les transports publics, l’eau, la gestion des déchets, l’efficacité énergétique ou encore les espaces verts</w:t>
            </w:r>
            <w:r w:rsidRPr="005C0AAC">
              <w:rPr>
                <w:sz w:val="20"/>
                <w:szCs w:val="20"/>
              </w:rPr>
              <w:t>.</w:t>
            </w:r>
          </w:p>
        </w:tc>
        <w:tc>
          <w:tcPr>
            <w:tcW w:w="2410" w:type="dxa"/>
          </w:tcPr>
          <w:p w14:paraId="391FB0D3" w14:textId="77777777" w:rsidR="00AB15DE" w:rsidRPr="005C0AAC" w:rsidRDefault="00AB15DE" w:rsidP="00825859">
            <w:pPr>
              <w:pStyle w:val="Paragraphedeliste"/>
              <w:numPr>
                <w:ilvl w:val="0"/>
                <w:numId w:val="14"/>
              </w:numPr>
              <w:rPr>
                <w:sz w:val="20"/>
                <w:szCs w:val="20"/>
              </w:rPr>
            </w:pPr>
            <w:r w:rsidRPr="005C0AAC">
              <w:rPr>
                <w:sz w:val="20"/>
                <w:szCs w:val="20"/>
              </w:rPr>
              <w:t>Etats</w:t>
            </w:r>
          </w:p>
          <w:p w14:paraId="0FCF63A0" w14:textId="77777777" w:rsidR="00AB15DE" w:rsidRPr="005C0AAC" w:rsidRDefault="00AB15DE" w:rsidP="00825859">
            <w:pPr>
              <w:pStyle w:val="Paragraphedeliste"/>
              <w:numPr>
                <w:ilvl w:val="0"/>
                <w:numId w:val="14"/>
              </w:numPr>
              <w:rPr>
                <w:sz w:val="20"/>
                <w:szCs w:val="20"/>
              </w:rPr>
            </w:pPr>
            <w:r w:rsidRPr="005C0AAC">
              <w:rPr>
                <w:sz w:val="20"/>
                <w:szCs w:val="20"/>
              </w:rPr>
              <w:t>Agences, administrations, institutions et ministères nationaux</w:t>
            </w:r>
          </w:p>
          <w:p w14:paraId="222DA3DB" w14:textId="77777777" w:rsidR="00AB15DE" w:rsidRPr="005C0AAC" w:rsidRDefault="00AB15DE" w:rsidP="00825859">
            <w:pPr>
              <w:pStyle w:val="Paragraphedeliste"/>
              <w:numPr>
                <w:ilvl w:val="0"/>
                <w:numId w:val="14"/>
              </w:numPr>
              <w:rPr>
                <w:sz w:val="20"/>
                <w:szCs w:val="20"/>
              </w:rPr>
            </w:pPr>
            <w:r w:rsidRPr="005C0AAC">
              <w:rPr>
                <w:sz w:val="20"/>
                <w:szCs w:val="20"/>
              </w:rPr>
              <w:t>Collectivités locales et régionales</w:t>
            </w:r>
          </w:p>
          <w:p w14:paraId="4BF3BAE9" w14:textId="77777777" w:rsidR="00AB15DE" w:rsidRPr="005C0AAC" w:rsidRDefault="00AB15DE" w:rsidP="00825859">
            <w:pPr>
              <w:pStyle w:val="Paragraphedeliste"/>
              <w:numPr>
                <w:ilvl w:val="0"/>
                <w:numId w:val="15"/>
              </w:numPr>
              <w:rPr>
                <w:sz w:val="20"/>
                <w:szCs w:val="20"/>
              </w:rPr>
            </w:pPr>
            <w:r w:rsidRPr="005C0AAC">
              <w:rPr>
                <w:sz w:val="20"/>
                <w:szCs w:val="20"/>
              </w:rPr>
              <w:t>Entreprises publiques</w:t>
            </w:r>
          </w:p>
          <w:p w14:paraId="605658E1" w14:textId="77777777" w:rsidR="00646C64" w:rsidRPr="005C0AAC" w:rsidRDefault="00646C64" w:rsidP="00646C64">
            <w:pPr>
              <w:rPr>
                <w:i/>
                <w:iCs/>
                <w:sz w:val="20"/>
                <w:szCs w:val="20"/>
              </w:rPr>
            </w:pPr>
            <w:r w:rsidRPr="005C0AAC">
              <w:rPr>
                <w:i/>
                <w:iCs/>
                <w:sz w:val="20"/>
                <w:szCs w:val="20"/>
              </w:rPr>
              <w:t>NB : il est possible de rétrocéder les fonds à des entreprises locales liées à ces acteurs publics (</w:t>
            </w:r>
            <w:proofErr w:type="spellStart"/>
            <w:r w:rsidRPr="005C0AAC">
              <w:rPr>
                <w:i/>
                <w:iCs/>
                <w:sz w:val="20"/>
                <w:szCs w:val="20"/>
              </w:rPr>
              <w:t>cf</w:t>
            </w:r>
            <w:proofErr w:type="spellEnd"/>
            <w:r w:rsidRPr="005C0AAC">
              <w:rPr>
                <w:i/>
                <w:iCs/>
                <w:sz w:val="20"/>
                <w:szCs w:val="20"/>
              </w:rPr>
              <w:t xml:space="preserve"> ci-après).</w:t>
            </w:r>
          </w:p>
        </w:tc>
        <w:tc>
          <w:tcPr>
            <w:tcW w:w="2622" w:type="dxa"/>
          </w:tcPr>
          <w:p w14:paraId="6B9CA094" w14:textId="77777777" w:rsidR="00AB15DE" w:rsidRPr="005C0AAC" w:rsidRDefault="00AB15DE" w:rsidP="00825859">
            <w:pPr>
              <w:pStyle w:val="Paragraphedeliste"/>
              <w:numPr>
                <w:ilvl w:val="0"/>
                <w:numId w:val="14"/>
              </w:numPr>
              <w:rPr>
                <w:sz w:val="20"/>
                <w:szCs w:val="20"/>
              </w:rPr>
            </w:pPr>
            <w:r w:rsidRPr="005C0AAC">
              <w:rPr>
                <w:b/>
                <w:bCs/>
                <w:sz w:val="20"/>
                <w:szCs w:val="20"/>
              </w:rPr>
              <w:t>Montant total du programme</w:t>
            </w:r>
            <w:r w:rsidRPr="005C0AAC">
              <w:rPr>
                <w:sz w:val="20"/>
                <w:szCs w:val="20"/>
              </w:rPr>
              <w:t xml:space="preserve"> d’investissement : en </w:t>
            </w:r>
            <w:r w:rsidR="00BF10F2">
              <w:rPr>
                <w:sz w:val="20"/>
                <w:szCs w:val="20"/>
              </w:rPr>
              <w:t>général</w:t>
            </w:r>
            <w:r w:rsidR="00BF10F2" w:rsidRPr="005C0AAC">
              <w:rPr>
                <w:sz w:val="20"/>
                <w:szCs w:val="20"/>
              </w:rPr>
              <w:t xml:space="preserve"> </w:t>
            </w:r>
            <w:r w:rsidRPr="005C0AAC">
              <w:rPr>
                <w:sz w:val="20"/>
                <w:szCs w:val="20"/>
              </w:rPr>
              <w:t>à partir de 100 millions €</w:t>
            </w:r>
            <w:r w:rsidR="007F3F9D">
              <w:rPr>
                <w:rStyle w:val="Appelnotedebasdep"/>
                <w:sz w:val="20"/>
                <w:szCs w:val="20"/>
              </w:rPr>
              <w:footnoteReference w:id="2"/>
            </w:r>
          </w:p>
          <w:p w14:paraId="72C93CBB" w14:textId="77777777" w:rsidR="00AB15DE" w:rsidRPr="005C0AAC" w:rsidRDefault="00AB15DE" w:rsidP="00825859">
            <w:pPr>
              <w:pStyle w:val="Paragraphedeliste"/>
              <w:numPr>
                <w:ilvl w:val="0"/>
                <w:numId w:val="14"/>
              </w:numPr>
              <w:rPr>
                <w:sz w:val="20"/>
                <w:szCs w:val="20"/>
              </w:rPr>
            </w:pPr>
            <w:r w:rsidRPr="005C0AAC">
              <w:rPr>
                <w:b/>
                <w:bCs/>
                <w:sz w:val="20"/>
                <w:szCs w:val="20"/>
              </w:rPr>
              <w:t>Montant maximum du prêt-cadre</w:t>
            </w:r>
            <w:r w:rsidRPr="005C0AAC">
              <w:rPr>
                <w:sz w:val="20"/>
                <w:szCs w:val="20"/>
              </w:rPr>
              <w:t xml:space="preserve"> de la BEI : jusqu’à 50% des coûts du programme</w:t>
            </w:r>
          </w:p>
          <w:p w14:paraId="2D2BD296" w14:textId="77777777" w:rsidR="00AB15DE" w:rsidRPr="005C0AAC" w:rsidRDefault="00AB15DE" w:rsidP="00825859">
            <w:pPr>
              <w:pStyle w:val="Paragraphedeliste"/>
              <w:numPr>
                <w:ilvl w:val="0"/>
                <w:numId w:val="14"/>
              </w:numPr>
              <w:rPr>
                <w:sz w:val="20"/>
                <w:szCs w:val="20"/>
              </w:rPr>
            </w:pPr>
            <w:r w:rsidRPr="005C0AAC">
              <w:rPr>
                <w:sz w:val="20"/>
                <w:szCs w:val="20"/>
              </w:rPr>
              <w:t>Possibilité d’un premier décaissement de 30% du prêt après la signature – les versements suivants dépendent ensuite du nombre de projets alloués au prêt BEI.</w:t>
            </w:r>
          </w:p>
        </w:tc>
        <w:tc>
          <w:tcPr>
            <w:tcW w:w="2197" w:type="dxa"/>
          </w:tcPr>
          <w:p w14:paraId="053A99B1" w14:textId="77777777" w:rsidR="00AB15DE" w:rsidRPr="005C0AAC" w:rsidRDefault="00AB15DE" w:rsidP="00825859">
            <w:pPr>
              <w:pStyle w:val="Paragraphedeliste"/>
              <w:numPr>
                <w:ilvl w:val="0"/>
                <w:numId w:val="14"/>
              </w:numPr>
              <w:rPr>
                <w:b/>
                <w:bCs/>
                <w:sz w:val="20"/>
                <w:szCs w:val="20"/>
                <w:u w:val="single"/>
              </w:rPr>
            </w:pPr>
            <w:r w:rsidRPr="005C0AAC">
              <w:rPr>
                <w:sz w:val="20"/>
                <w:szCs w:val="20"/>
              </w:rPr>
              <w:t>Du programme d’investissement : 3-5 ans</w:t>
            </w:r>
          </w:p>
          <w:p w14:paraId="3426BC92" w14:textId="77777777" w:rsidR="00AB15DE" w:rsidRPr="005C0AAC" w:rsidRDefault="00AB15DE" w:rsidP="00825859">
            <w:pPr>
              <w:pStyle w:val="Paragraphedeliste"/>
              <w:numPr>
                <w:ilvl w:val="0"/>
                <w:numId w:val="14"/>
              </w:numPr>
              <w:rPr>
                <w:b/>
                <w:bCs/>
                <w:sz w:val="20"/>
                <w:szCs w:val="20"/>
                <w:u w:val="single"/>
              </w:rPr>
            </w:pPr>
            <w:r w:rsidRPr="005C0AAC">
              <w:rPr>
                <w:sz w:val="20"/>
                <w:szCs w:val="20"/>
              </w:rPr>
              <w:t>Du prêt : sur une période de 20 à 25 ans (voire davantage) avec un délai de grâce de 3 à 5 ans.</w:t>
            </w:r>
          </w:p>
        </w:tc>
      </w:tr>
    </w:tbl>
    <w:p w14:paraId="6B984EB0" w14:textId="77777777" w:rsidR="00AB15DE" w:rsidRPr="008E2084" w:rsidRDefault="00AB15DE" w:rsidP="00797516">
      <w:pPr>
        <w:rPr>
          <w:sz w:val="24"/>
          <w:szCs w:val="24"/>
        </w:rPr>
      </w:pPr>
    </w:p>
    <w:p w14:paraId="4D0F9C37" w14:textId="77777777" w:rsidR="00F52B67" w:rsidRDefault="00AB15DE" w:rsidP="00825859">
      <w:pPr>
        <w:pStyle w:val="Paragraphedeliste"/>
        <w:numPr>
          <w:ilvl w:val="0"/>
          <w:numId w:val="9"/>
        </w:numPr>
        <w:jc w:val="both"/>
      </w:pPr>
      <w:r>
        <w:t xml:space="preserve">Les </w:t>
      </w:r>
      <w:r w:rsidRPr="00AB15DE">
        <w:rPr>
          <w:b/>
          <w:bCs/>
        </w:rPr>
        <w:t>s</w:t>
      </w:r>
      <w:r w:rsidR="00F52B67" w:rsidRPr="00AB15DE">
        <w:rPr>
          <w:b/>
          <w:bCs/>
        </w:rPr>
        <w:t>ous-projets de petite taille</w:t>
      </w:r>
      <w:r>
        <w:t xml:space="preserve"> composant le programme d’investissement</w:t>
      </w:r>
      <w:r w:rsidR="00F52B67">
        <w:t> :</w:t>
      </w:r>
    </w:p>
    <w:p w14:paraId="6AE8C192" w14:textId="77777777" w:rsidR="0065532F" w:rsidRDefault="00F52B67" w:rsidP="00825859">
      <w:pPr>
        <w:pStyle w:val="Paragraphedeliste"/>
        <w:numPr>
          <w:ilvl w:val="1"/>
          <w:numId w:val="9"/>
        </w:numPr>
        <w:jc w:val="both"/>
      </w:pPr>
      <w:r>
        <w:t>P</w:t>
      </w:r>
      <w:r w:rsidR="00F136AA">
        <w:t xml:space="preserve">euvent chacun représenter </w:t>
      </w:r>
      <w:r w:rsidR="00A3225E">
        <w:t>entre 1 et 50 M€</w:t>
      </w:r>
      <w:r>
        <w:t xml:space="preserve">. </w:t>
      </w:r>
    </w:p>
    <w:p w14:paraId="7E56E4D6" w14:textId="64717B80" w:rsidR="00F52B67" w:rsidRDefault="00F52B67" w:rsidP="00825859">
      <w:pPr>
        <w:pStyle w:val="Paragraphedeliste"/>
        <w:numPr>
          <w:ilvl w:val="1"/>
          <w:numId w:val="9"/>
        </w:numPr>
        <w:jc w:val="both"/>
      </w:pPr>
      <w:r>
        <w:t xml:space="preserve">Ne doivent pas être </w:t>
      </w:r>
      <w:r w:rsidR="007E68F1">
        <w:t>concrétisés</w:t>
      </w:r>
      <w:r w:rsidR="00A17413">
        <w:t xml:space="preserve"> –</w:t>
      </w:r>
      <w:r w:rsidR="001377C2">
        <w:t xml:space="preserve"> c’est-à-dire réalisés</w:t>
      </w:r>
      <w:r w:rsidR="00A17413">
        <w:t xml:space="preserve"> –</w:t>
      </w:r>
      <w:r w:rsidR="007E68F1">
        <w:t xml:space="preserve"> </w:t>
      </w:r>
      <w:r>
        <w:t>à</w:t>
      </w:r>
      <w:r w:rsidR="00A17413">
        <w:t xml:space="preserve"> </w:t>
      </w:r>
      <w:r>
        <w:t xml:space="preserve">plus de 50% avant </w:t>
      </w:r>
      <w:r w:rsidR="007E68F1">
        <w:t>l</w:t>
      </w:r>
      <w:r>
        <w:t>‘approbation de la BEI.</w:t>
      </w:r>
    </w:p>
    <w:p w14:paraId="6695EE09" w14:textId="77777777" w:rsidR="00325BA7" w:rsidRDefault="007E68F1" w:rsidP="00825859">
      <w:pPr>
        <w:pStyle w:val="Paragraphedeliste"/>
        <w:numPr>
          <w:ilvl w:val="1"/>
          <w:numId w:val="9"/>
        </w:numPr>
        <w:jc w:val="both"/>
      </w:pPr>
      <w:r>
        <w:t>S</w:t>
      </w:r>
      <w:r w:rsidR="00325BA7">
        <w:t>ont soumis à un processus de validation de la BEI qui varie en fonction de leur budget.</w:t>
      </w:r>
    </w:p>
    <w:p w14:paraId="20D9B8B2" w14:textId="77777777" w:rsidR="00EB112D" w:rsidRDefault="00646C64" w:rsidP="00825859">
      <w:pPr>
        <w:pStyle w:val="Paragraphedeliste"/>
        <w:numPr>
          <w:ilvl w:val="0"/>
          <w:numId w:val="9"/>
        </w:numPr>
        <w:jc w:val="both"/>
      </w:pPr>
      <w:r>
        <w:t xml:space="preserve">Le prêt </w:t>
      </w:r>
      <w:r w:rsidR="00EB112D">
        <w:t xml:space="preserve">peut être utilisé comme un co-financement apporté à </w:t>
      </w:r>
      <w:r w:rsidR="00F136AA">
        <w:t>des projets financés</w:t>
      </w:r>
      <w:r w:rsidR="00EB112D">
        <w:t xml:space="preserve"> par les Fonds structurels (FESI)</w:t>
      </w:r>
      <w:r w:rsidR="007E68F1">
        <w:t xml:space="preserve"> (</w:t>
      </w:r>
      <w:proofErr w:type="spellStart"/>
      <w:r w:rsidR="007E68F1">
        <w:t>cf</w:t>
      </w:r>
      <w:proofErr w:type="spellEnd"/>
      <w:r w:rsidR="007E68F1">
        <w:t xml:space="preserve"> section suivante).</w:t>
      </w:r>
    </w:p>
    <w:p w14:paraId="5B8F4DF1" w14:textId="77777777" w:rsidR="00F52B67" w:rsidRDefault="00F52B67" w:rsidP="00825859">
      <w:pPr>
        <w:pStyle w:val="Paragraphedeliste"/>
        <w:numPr>
          <w:ilvl w:val="0"/>
          <w:numId w:val="9"/>
        </w:numPr>
        <w:jc w:val="both"/>
      </w:pPr>
      <w:r>
        <w:t>Le prêt-cadre n’est pas considéré comme une aide d’Etat.</w:t>
      </w:r>
    </w:p>
    <w:p w14:paraId="23AE091E" w14:textId="2DF72F43" w:rsidR="00A3225E" w:rsidRDefault="00731DF1" w:rsidP="00825859">
      <w:pPr>
        <w:pStyle w:val="Paragraphedeliste"/>
        <w:numPr>
          <w:ilvl w:val="0"/>
          <w:numId w:val="9"/>
        </w:numPr>
        <w:jc w:val="both"/>
      </w:pPr>
      <w:r w:rsidRPr="00731DF1">
        <w:lastRenderedPageBreak/>
        <w:t>Si le programme bénéficie également d’un financement de l’U</w:t>
      </w:r>
      <w:r w:rsidR="008B3F3F">
        <w:t>nion européenne (UE)</w:t>
      </w:r>
      <w:r w:rsidRPr="00731DF1">
        <w:t xml:space="preserve">, le concours de la BEI et de l’UE ne </w:t>
      </w:r>
      <w:proofErr w:type="gramStart"/>
      <w:r w:rsidRPr="00731DF1">
        <w:t>pourr</w:t>
      </w:r>
      <w:r w:rsidR="006C4F5A">
        <w:t>ont</w:t>
      </w:r>
      <w:proofErr w:type="gramEnd"/>
      <w:r w:rsidRPr="00731DF1">
        <w:t xml:space="preserve"> dépasser 70 % </w:t>
      </w:r>
      <w:r w:rsidR="008E4D67">
        <w:t>du programme d’investissement</w:t>
      </w:r>
      <w:r w:rsidR="007E68F1">
        <w:t xml:space="preserve"> pour les régions développées</w:t>
      </w:r>
      <w:r w:rsidR="008E4D67">
        <w:t xml:space="preserve"> </w:t>
      </w:r>
      <w:r w:rsidR="007E68F1">
        <w:t xml:space="preserve">et </w:t>
      </w:r>
      <w:r w:rsidR="008E4D67">
        <w:t>90% pour les régions en transition ou les moins développées</w:t>
      </w:r>
      <w:r w:rsidR="001377C2">
        <w:rPr>
          <w:rStyle w:val="Appelnotedebasdep"/>
        </w:rPr>
        <w:footnoteReference w:id="3"/>
      </w:r>
      <w:r w:rsidR="007E68F1">
        <w:t>.</w:t>
      </w:r>
    </w:p>
    <w:p w14:paraId="66A09352" w14:textId="77777777" w:rsidR="00F136AA" w:rsidRDefault="00F136AA" w:rsidP="00825859">
      <w:pPr>
        <w:pStyle w:val="Paragraphedeliste"/>
        <w:numPr>
          <w:ilvl w:val="0"/>
          <w:numId w:val="9"/>
        </w:numPr>
        <w:jc w:val="both"/>
      </w:pPr>
      <w:r>
        <w:t>Il est possible pour l’emprunteur de rétrocéder les fonds à des entreprises locales</w:t>
      </w:r>
      <w:r w:rsidR="00731DF1">
        <w:t xml:space="preserve"> avec lesquelles il entretient un lien légal</w:t>
      </w:r>
      <w:r>
        <w:t xml:space="preserve"> </w:t>
      </w:r>
      <w:r w:rsidR="008E4D67">
        <w:t xml:space="preserve">et qui sont responsables de la mise en œuvre des projets </w:t>
      </w:r>
      <w:r>
        <w:t xml:space="preserve">(par exemple </w:t>
      </w:r>
      <w:r w:rsidR="00731DF1">
        <w:t xml:space="preserve">des entreprises </w:t>
      </w:r>
      <w:r>
        <w:t>en charge de la distribution de l’eau ou des transports)</w:t>
      </w:r>
      <w:r w:rsidR="007E68F1">
        <w:t>. L</w:t>
      </w:r>
      <w:r w:rsidR="008E4D67">
        <w:t>’acteur public emprunteur</w:t>
      </w:r>
      <w:r w:rsidR="007E68F1">
        <w:t xml:space="preserve"> </w:t>
      </w:r>
      <w:r w:rsidR="008E4D67">
        <w:t>reste responsable du remboursement du prêt.</w:t>
      </w:r>
    </w:p>
    <w:p w14:paraId="39409F4F" w14:textId="77777777" w:rsidR="00646C64" w:rsidRDefault="00646C64" w:rsidP="00646C64">
      <w:pPr>
        <w:jc w:val="both"/>
      </w:pPr>
    </w:p>
    <w:tbl>
      <w:tblPr>
        <w:tblStyle w:val="Grilledutableau"/>
        <w:tblW w:w="0" w:type="auto"/>
        <w:tblLook w:val="04A0" w:firstRow="1" w:lastRow="0" w:firstColumn="1" w:lastColumn="0" w:noHBand="0" w:noVBand="1"/>
      </w:tblPr>
      <w:tblGrid>
        <w:gridCol w:w="2409"/>
        <w:gridCol w:w="7362"/>
      </w:tblGrid>
      <w:tr w:rsidR="005D1468" w14:paraId="5FA9D0A8" w14:textId="77777777" w:rsidTr="00A076CC">
        <w:tc>
          <w:tcPr>
            <w:tcW w:w="2122" w:type="dxa"/>
            <w:shd w:val="clear" w:color="auto" w:fill="5F497A" w:themeFill="accent4" w:themeFillShade="BF"/>
          </w:tcPr>
          <w:p w14:paraId="7F2C7076" w14:textId="77777777" w:rsidR="005D1468" w:rsidRPr="00646C64" w:rsidRDefault="005D1468" w:rsidP="005D1468">
            <w:pPr>
              <w:jc w:val="both"/>
              <w:rPr>
                <w:b/>
                <w:bCs/>
                <w:color w:val="FFFFFF" w:themeColor="background1"/>
              </w:rPr>
            </w:pPr>
            <w:r w:rsidRPr="00646C64">
              <w:rPr>
                <w:b/>
                <w:bCs/>
                <w:color w:val="FFFFFF" w:themeColor="background1"/>
              </w:rPr>
              <w:t xml:space="preserve">Exemple </w:t>
            </w:r>
            <w:r w:rsidR="0003708A">
              <w:rPr>
                <w:b/>
                <w:bCs/>
                <w:color w:val="FFFFFF" w:themeColor="background1"/>
              </w:rPr>
              <w:t>de projet</w:t>
            </w:r>
          </w:p>
        </w:tc>
        <w:tc>
          <w:tcPr>
            <w:tcW w:w="7649" w:type="dxa"/>
            <w:shd w:val="clear" w:color="auto" w:fill="auto"/>
          </w:tcPr>
          <w:p w14:paraId="66E36C1B" w14:textId="77777777" w:rsidR="0003708A" w:rsidRPr="0003708A" w:rsidRDefault="0003708A" w:rsidP="005D1468">
            <w:pPr>
              <w:jc w:val="both"/>
              <w:rPr>
                <w:b/>
                <w:bCs/>
                <w:sz w:val="20"/>
                <w:szCs w:val="20"/>
              </w:rPr>
            </w:pPr>
            <w:r w:rsidRPr="0003708A">
              <w:rPr>
                <w:b/>
                <w:bCs/>
                <w:sz w:val="20"/>
                <w:szCs w:val="20"/>
              </w:rPr>
              <w:t xml:space="preserve">SEM </w:t>
            </w:r>
            <w:r>
              <w:rPr>
                <w:b/>
                <w:bCs/>
                <w:sz w:val="20"/>
                <w:szCs w:val="20"/>
              </w:rPr>
              <w:t>Energies POSIT’IF Ile-de-France</w:t>
            </w:r>
            <w:r>
              <w:rPr>
                <w:sz w:val="20"/>
                <w:szCs w:val="20"/>
              </w:rPr>
              <w:t xml:space="preserve"> (FR) – Désormais </w:t>
            </w:r>
            <w:r>
              <w:rPr>
                <w:b/>
                <w:bCs/>
                <w:sz w:val="20"/>
                <w:szCs w:val="20"/>
              </w:rPr>
              <w:t>Ile-de-France Energies</w:t>
            </w:r>
          </w:p>
          <w:p w14:paraId="3DB730C9" w14:textId="77777777" w:rsidR="00A076CC" w:rsidRDefault="000839EC" w:rsidP="00A076CC">
            <w:pPr>
              <w:jc w:val="both"/>
              <w:rPr>
                <w:sz w:val="20"/>
                <w:szCs w:val="20"/>
              </w:rPr>
            </w:pPr>
            <w:hyperlink r:id="rId13" w:history="1">
              <w:r w:rsidR="00A076CC" w:rsidRPr="0003708A">
                <w:rPr>
                  <w:rStyle w:val="Lienhypertexte"/>
                  <w:sz w:val="20"/>
                  <w:szCs w:val="20"/>
                </w:rPr>
                <w:t>Informations utiles</w:t>
              </w:r>
            </w:hyperlink>
          </w:p>
          <w:p w14:paraId="37D754DB" w14:textId="77777777" w:rsidR="00A076CC" w:rsidRDefault="000839EC" w:rsidP="00A076CC">
            <w:pPr>
              <w:jc w:val="both"/>
              <w:rPr>
                <w:sz w:val="20"/>
                <w:szCs w:val="20"/>
              </w:rPr>
            </w:pPr>
            <w:hyperlink r:id="rId14" w:history="1">
              <w:r w:rsidR="00A076CC" w:rsidRPr="0003708A">
                <w:rPr>
                  <w:rStyle w:val="Lienhypertexte"/>
                  <w:sz w:val="20"/>
                  <w:szCs w:val="20"/>
                </w:rPr>
                <w:t>Site de la SEM</w:t>
              </w:r>
            </w:hyperlink>
          </w:p>
          <w:p w14:paraId="5ADF141F" w14:textId="77777777" w:rsidR="00A076CC" w:rsidRDefault="000839EC" w:rsidP="00A076CC">
            <w:pPr>
              <w:jc w:val="both"/>
              <w:rPr>
                <w:sz w:val="20"/>
                <w:szCs w:val="20"/>
              </w:rPr>
            </w:pPr>
            <w:hyperlink r:id="rId15" w:history="1">
              <w:r w:rsidR="00A076CC" w:rsidRPr="009102DE">
                <w:rPr>
                  <w:rStyle w:val="Lienhypertexte"/>
                  <w:sz w:val="20"/>
                  <w:szCs w:val="20"/>
                </w:rPr>
                <w:t>contact@idf-energies.fr</w:t>
              </w:r>
            </w:hyperlink>
          </w:p>
          <w:p w14:paraId="3B13DCCD" w14:textId="77777777" w:rsidR="0003708A" w:rsidRDefault="0003708A" w:rsidP="00A076CC">
            <w:pPr>
              <w:jc w:val="both"/>
              <w:rPr>
                <w:sz w:val="20"/>
                <w:szCs w:val="20"/>
              </w:rPr>
            </w:pPr>
            <w:r w:rsidRPr="0003708A">
              <w:rPr>
                <w:sz w:val="20"/>
                <w:szCs w:val="20"/>
                <w:u w:val="single"/>
              </w:rPr>
              <w:t>Montant du prêt-cadre :</w:t>
            </w:r>
            <w:r>
              <w:rPr>
                <w:sz w:val="20"/>
                <w:szCs w:val="20"/>
              </w:rPr>
              <w:t xml:space="preserve"> 100 millions €</w:t>
            </w:r>
          </w:p>
          <w:p w14:paraId="040A81C3" w14:textId="77777777" w:rsidR="0003708A" w:rsidRDefault="0003708A" w:rsidP="005D1468">
            <w:pPr>
              <w:jc w:val="both"/>
              <w:rPr>
                <w:sz w:val="20"/>
                <w:szCs w:val="20"/>
              </w:rPr>
            </w:pPr>
            <w:r>
              <w:rPr>
                <w:sz w:val="20"/>
                <w:szCs w:val="20"/>
              </w:rPr>
              <w:t xml:space="preserve">Energies POSIT’IF est une société d’économie mixte détenue par la Région </w:t>
            </w:r>
            <w:r w:rsidRPr="0003708A">
              <w:rPr>
                <w:sz w:val="20"/>
                <w:szCs w:val="20"/>
              </w:rPr>
              <w:t>Île-de-France, la Ville de Paris</w:t>
            </w:r>
            <w:r>
              <w:rPr>
                <w:sz w:val="20"/>
                <w:szCs w:val="20"/>
              </w:rPr>
              <w:t xml:space="preserve">, d’autres </w:t>
            </w:r>
            <w:r w:rsidRPr="0003708A">
              <w:rPr>
                <w:sz w:val="20"/>
                <w:szCs w:val="20"/>
              </w:rPr>
              <w:t>collectivités territoriales</w:t>
            </w:r>
            <w:r>
              <w:rPr>
                <w:sz w:val="20"/>
                <w:szCs w:val="20"/>
              </w:rPr>
              <w:t xml:space="preserve"> ainsi que </w:t>
            </w:r>
            <w:r w:rsidRPr="0003708A">
              <w:rPr>
                <w:sz w:val="20"/>
                <w:szCs w:val="20"/>
              </w:rPr>
              <w:t>des investisseurs du secteur bancair</w:t>
            </w:r>
            <w:r>
              <w:rPr>
                <w:sz w:val="20"/>
                <w:szCs w:val="20"/>
              </w:rPr>
              <w:t>e (</w:t>
            </w:r>
            <w:r w:rsidRPr="0003708A">
              <w:rPr>
                <w:sz w:val="20"/>
                <w:szCs w:val="20"/>
              </w:rPr>
              <w:t>Caisse d'Épargne d'Île-de-France et Caisse des Dépôt</w:t>
            </w:r>
            <w:r>
              <w:rPr>
                <w:sz w:val="20"/>
                <w:szCs w:val="20"/>
              </w:rPr>
              <w:t>)</w:t>
            </w:r>
            <w:r w:rsidRPr="0003708A">
              <w:rPr>
                <w:sz w:val="20"/>
                <w:szCs w:val="20"/>
              </w:rPr>
              <w:t>.</w:t>
            </w:r>
          </w:p>
          <w:p w14:paraId="2220CECA" w14:textId="77777777" w:rsidR="00A076CC" w:rsidRPr="005D1468" w:rsidRDefault="0003708A" w:rsidP="005D1468">
            <w:pPr>
              <w:jc w:val="both"/>
              <w:rPr>
                <w:sz w:val="20"/>
                <w:szCs w:val="20"/>
              </w:rPr>
            </w:pPr>
            <w:r>
              <w:rPr>
                <w:sz w:val="20"/>
                <w:szCs w:val="20"/>
              </w:rPr>
              <w:t xml:space="preserve">Son </w:t>
            </w:r>
            <w:r w:rsidRPr="0003708A">
              <w:rPr>
                <w:sz w:val="20"/>
                <w:szCs w:val="20"/>
              </w:rPr>
              <w:t>objectif est d’augmenter l’efficacité énergétique des copropriétés</w:t>
            </w:r>
            <w:r>
              <w:rPr>
                <w:sz w:val="20"/>
                <w:szCs w:val="20"/>
              </w:rPr>
              <w:t xml:space="preserve"> </w:t>
            </w:r>
            <w:r w:rsidRPr="0003708A">
              <w:rPr>
                <w:sz w:val="20"/>
                <w:szCs w:val="20"/>
              </w:rPr>
              <w:t>dans la région Île-de-France.</w:t>
            </w:r>
            <w:r>
              <w:rPr>
                <w:sz w:val="20"/>
                <w:szCs w:val="20"/>
              </w:rPr>
              <w:t xml:space="preserve"> Elle agit en tant qu’</w:t>
            </w:r>
            <w:r w:rsidRPr="0003708A">
              <w:rPr>
                <w:sz w:val="20"/>
                <w:szCs w:val="20"/>
              </w:rPr>
              <w:t xml:space="preserve">interlocuteur unique </w:t>
            </w:r>
            <w:r>
              <w:rPr>
                <w:sz w:val="20"/>
                <w:szCs w:val="20"/>
              </w:rPr>
              <w:t>et intermédiaire financier de la BEI auprès des copropriétaires, l’objectif étant que</w:t>
            </w:r>
            <w:r w:rsidRPr="0003708A">
              <w:rPr>
                <w:sz w:val="20"/>
                <w:szCs w:val="20"/>
              </w:rPr>
              <w:t xml:space="preserve"> tous les appartements</w:t>
            </w:r>
            <w:r>
              <w:rPr>
                <w:sz w:val="20"/>
                <w:szCs w:val="20"/>
              </w:rPr>
              <w:t xml:space="preserve"> d’un immeuble engagent les travaux de rénovation des fenêtres, de systèmes</w:t>
            </w:r>
            <w:r w:rsidRPr="0003708A">
              <w:rPr>
                <w:sz w:val="20"/>
                <w:szCs w:val="20"/>
              </w:rPr>
              <w:t xml:space="preserve"> de chauffage et de ventilation améliorés</w:t>
            </w:r>
            <w:r>
              <w:rPr>
                <w:sz w:val="20"/>
                <w:szCs w:val="20"/>
              </w:rPr>
              <w:t xml:space="preserve"> </w:t>
            </w:r>
            <w:r w:rsidRPr="0003708A">
              <w:rPr>
                <w:sz w:val="20"/>
                <w:szCs w:val="20"/>
              </w:rPr>
              <w:t>et d’une enveloppe thermique supplémentaire</w:t>
            </w:r>
            <w:r>
              <w:rPr>
                <w:sz w:val="20"/>
                <w:szCs w:val="20"/>
              </w:rPr>
              <w:t xml:space="preserve"> a</w:t>
            </w:r>
            <w:r w:rsidRPr="0003708A">
              <w:rPr>
                <w:sz w:val="20"/>
                <w:szCs w:val="20"/>
              </w:rPr>
              <w:t>ppliquée sur l’intégralité du bâtiment</w:t>
            </w:r>
            <w:r>
              <w:rPr>
                <w:sz w:val="20"/>
                <w:szCs w:val="20"/>
              </w:rPr>
              <w:t>.</w:t>
            </w:r>
          </w:p>
        </w:tc>
      </w:tr>
      <w:tr w:rsidR="005D1468" w14:paraId="7C95AAC3" w14:textId="77777777" w:rsidTr="00A076CC">
        <w:tc>
          <w:tcPr>
            <w:tcW w:w="2122" w:type="dxa"/>
            <w:shd w:val="clear" w:color="auto" w:fill="5F497A" w:themeFill="accent4" w:themeFillShade="BF"/>
          </w:tcPr>
          <w:p w14:paraId="10B69C7E" w14:textId="77777777" w:rsidR="005D1468" w:rsidRPr="00646C64" w:rsidRDefault="005D1468" w:rsidP="005D1468">
            <w:pPr>
              <w:jc w:val="both"/>
              <w:rPr>
                <w:b/>
                <w:bCs/>
                <w:color w:val="FFFFFF" w:themeColor="background1"/>
              </w:rPr>
            </w:pPr>
            <w:r w:rsidRPr="00646C64">
              <w:rPr>
                <w:b/>
                <w:bCs/>
                <w:color w:val="FFFFFF" w:themeColor="background1"/>
              </w:rPr>
              <w:t>Ressources</w:t>
            </w:r>
          </w:p>
        </w:tc>
        <w:tc>
          <w:tcPr>
            <w:tcW w:w="7649" w:type="dxa"/>
            <w:shd w:val="clear" w:color="auto" w:fill="auto"/>
          </w:tcPr>
          <w:p w14:paraId="489E50FC" w14:textId="77777777" w:rsidR="005D1468" w:rsidRPr="005D1468" w:rsidRDefault="000839EC" w:rsidP="005D1468">
            <w:pPr>
              <w:jc w:val="both"/>
              <w:rPr>
                <w:sz w:val="20"/>
                <w:szCs w:val="20"/>
              </w:rPr>
            </w:pPr>
            <w:hyperlink r:id="rId16" w:history="1">
              <w:r w:rsidR="005D1468" w:rsidRPr="005C0AAC">
                <w:rPr>
                  <w:rStyle w:val="Lienhypertexte"/>
                  <w:sz w:val="20"/>
                  <w:szCs w:val="20"/>
                </w:rPr>
                <w:t>Lien utile</w:t>
              </w:r>
            </w:hyperlink>
            <w:r w:rsidR="005D1468">
              <w:rPr>
                <w:rStyle w:val="Lienhypertexte"/>
                <w:sz w:val="20"/>
                <w:szCs w:val="20"/>
              </w:rPr>
              <w:t xml:space="preserve"> </w:t>
            </w:r>
          </w:p>
        </w:tc>
      </w:tr>
      <w:tr w:rsidR="00646C64" w14:paraId="38DD5823" w14:textId="77777777" w:rsidTr="00A076CC">
        <w:tc>
          <w:tcPr>
            <w:tcW w:w="2122" w:type="dxa"/>
            <w:shd w:val="clear" w:color="auto" w:fill="5F497A" w:themeFill="accent4" w:themeFillShade="BF"/>
          </w:tcPr>
          <w:p w14:paraId="14C4E52B" w14:textId="77777777" w:rsidR="00646C64" w:rsidRPr="00646C64" w:rsidRDefault="00646C64" w:rsidP="00A076CC">
            <w:pPr>
              <w:rPr>
                <w:color w:val="FFFFFF" w:themeColor="background1"/>
              </w:rPr>
            </w:pPr>
            <w:r w:rsidRPr="00646C64">
              <w:rPr>
                <w:b/>
                <w:bCs/>
                <w:color w:val="FFFFFF" w:themeColor="background1"/>
              </w:rPr>
              <w:t>Procédure pour bénéficier</w:t>
            </w:r>
            <w:r w:rsidRPr="00646C64">
              <w:rPr>
                <w:color w:val="FFFFFF" w:themeColor="background1"/>
              </w:rPr>
              <w:t xml:space="preserve"> </w:t>
            </w:r>
            <w:r w:rsidRPr="00646C64">
              <w:rPr>
                <w:b/>
                <w:bCs/>
                <w:color w:val="FFFFFF" w:themeColor="background1"/>
              </w:rPr>
              <w:t>d’un prêt-cadre</w:t>
            </w:r>
            <w:r w:rsidRPr="00646C64">
              <w:rPr>
                <w:color w:val="FFFFFF" w:themeColor="background1"/>
              </w:rPr>
              <w:t xml:space="preserve"> </w:t>
            </w:r>
          </w:p>
        </w:tc>
        <w:tc>
          <w:tcPr>
            <w:tcW w:w="7649" w:type="dxa"/>
            <w:shd w:val="clear" w:color="auto" w:fill="auto"/>
          </w:tcPr>
          <w:p w14:paraId="60984C81" w14:textId="77777777" w:rsidR="00646C64" w:rsidRPr="005C0AAC" w:rsidRDefault="00646C64" w:rsidP="00825859">
            <w:pPr>
              <w:pStyle w:val="Paragraphedeliste"/>
              <w:numPr>
                <w:ilvl w:val="0"/>
                <w:numId w:val="16"/>
              </w:numPr>
              <w:jc w:val="both"/>
              <w:rPr>
                <w:sz w:val="20"/>
                <w:szCs w:val="20"/>
              </w:rPr>
            </w:pPr>
            <w:r w:rsidRPr="005C0AAC">
              <w:rPr>
                <w:sz w:val="20"/>
                <w:szCs w:val="20"/>
              </w:rPr>
              <w:t xml:space="preserve">Prise de contact avec la BEI (se référer aux coordonnées du </w:t>
            </w:r>
            <w:hyperlink r:id="rId17" w:history="1">
              <w:r w:rsidRPr="005C0AAC">
                <w:rPr>
                  <w:rStyle w:val="Lienhypertexte"/>
                  <w:sz w:val="20"/>
                  <w:szCs w:val="20"/>
                </w:rPr>
                <w:t>bureau local de la BEI en France</w:t>
              </w:r>
            </w:hyperlink>
            <w:r w:rsidRPr="005C0AAC">
              <w:rPr>
                <w:sz w:val="20"/>
                <w:szCs w:val="20"/>
              </w:rPr>
              <w:t>)</w:t>
            </w:r>
          </w:p>
          <w:p w14:paraId="4DBBDF4F" w14:textId="77777777" w:rsidR="00646C64" w:rsidRPr="005C0AAC" w:rsidRDefault="00646C64" w:rsidP="00825859">
            <w:pPr>
              <w:pStyle w:val="Paragraphedeliste"/>
              <w:numPr>
                <w:ilvl w:val="0"/>
                <w:numId w:val="16"/>
              </w:numPr>
              <w:jc w:val="both"/>
              <w:rPr>
                <w:sz w:val="20"/>
                <w:szCs w:val="20"/>
              </w:rPr>
            </w:pPr>
            <w:r w:rsidRPr="005C0AAC">
              <w:rPr>
                <w:sz w:val="20"/>
                <w:szCs w:val="20"/>
              </w:rPr>
              <w:t>S’ensuit une procédure d’approbation avec questionnaires, visite d’évaluation, approbation de comités, etc.</w:t>
            </w:r>
          </w:p>
          <w:p w14:paraId="3B72A980" w14:textId="77777777" w:rsidR="00646C64" w:rsidRPr="005C0AAC" w:rsidRDefault="00646C64" w:rsidP="00825859">
            <w:pPr>
              <w:pStyle w:val="Paragraphedeliste"/>
              <w:numPr>
                <w:ilvl w:val="0"/>
                <w:numId w:val="16"/>
              </w:numPr>
              <w:jc w:val="both"/>
              <w:rPr>
                <w:sz w:val="20"/>
                <w:szCs w:val="20"/>
              </w:rPr>
            </w:pPr>
            <w:r w:rsidRPr="005C0AAC">
              <w:rPr>
                <w:sz w:val="20"/>
                <w:szCs w:val="20"/>
              </w:rPr>
              <w:t>La procédure dure entre 6 mois et un an</w:t>
            </w:r>
          </w:p>
        </w:tc>
      </w:tr>
      <w:tr w:rsidR="00646C64" w14:paraId="7DBC1C05" w14:textId="77777777" w:rsidTr="00A076CC">
        <w:tc>
          <w:tcPr>
            <w:tcW w:w="2122" w:type="dxa"/>
            <w:shd w:val="clear" w:color="auto" w:fill="5F497A" w:themeFill="accent4" w:themeFillShade="BF"/>
          </w:tcPr>
          <w:p w14:paraId="1E8AF8E1" w14:textId="77777777" w:rsidR="00646C64" w:rsidRPr="00646C64" w:rsidRDefault="00646C64" w:rsidP="00A076CC">
            <w:pPr>
              <w:rPr>
                <w:b/>
                <w:bCs/>
                <w:color w:val="FFFFFF" w:themeColor="background1"/>
              </w:rPr>
            </w:pPr>
            <w:r w:rsidRPr="00646C64">
              <w:rPr>
                <w:b/>
                <w:bCs/>
                <w:color w:val="FFFFFF" w:themeColor="background1"/>
              </w:rPr>
              <w:t>Recommandations pour recourir au dispositif</w:t>
            </w:r>
          </w:p>
        </w:tc>
        <w:tc>
          <w:tcPr>
            <w:tcW w:w="7649" w:type="dxa"/>
            <w:shd w:val="clear" w:color="auto" w:fill="auto"/>
          </w:tcPr>
          <w:p w14:paraId="547A9220" w14:textId="77777777" w:rsidR="00646C64" w:rsidRPr="005C0AAC" w:rsidRDefault="00646C64" w:rsidP="00825859">
            <w:pPr>
              <w:pStyle w:val="Paragraphedeliste"/>
              <w:numPr>
                <w:ilvl w:val="0"/>
                <w:numId w:val="17"/>
              </w:numPr>
              <w:jc w:val="both"/>
              <w:rPr>
                <w:sz w:val="20"/>
                <w:szCs w:val="20"/>
              </w:rPr>
            </w:pPr>
            <w:r w:rsidRPr="005C0AAC">
              <w:rPr>
                <w:sz w:val="20"/>
                <w:szCs w:val="20"/>
              </w:rPr>
              <w:t>Avoir déjà une liste de projets soutenus politiquement et donc susceptibles d’être effectivement mis en œuvre (même si cette liste peut par la suite évoluer).</w:t>
            </w:r>
          </w:p>
          <w:p w14:paraId="7D44ACEA" w14:textId="77777777" w:rsidR="00646C64" w:rsidRPr="005C0AAC" w:rsidRDefault="00646C64" w:rsidP="00825859">
            <w:pPr>
              <w:pStyle w:val="Paragraphedeliste"/>
              <w:numPr>
                <w:ilvl w:val="0"/>
                <w:numId w:val="17"/>
              </w:numPr>
              <w:jc w:val="both"/>
              <w:rPr>
                <w:sz w:val="20"/>
                <w:szCs w:val="20"/>
              </w:rPr>
            </w:pPr>
            <w:r w:rsidRPr="005C0AAC">
              <w:rPr>
                <w:sz w:val="20"/>
                <w:szCs w:val="20"/>
              </w:rPr>
              <w:t>Avoir une personne dédiée à la coordination du prêt-cadre (pas nécessaire un temps plein mais avec suffisamment de temps alloué à cette tâche).</w:t>
            </w:r>
          </w:p>
          <w:p w14:paraId="4EAA7E4C" w14:textId="77777777" w:rsidR="00646C64" w:rsidRPr="005C0AAC" w:rsidRDefault="00646C64" w:rsidP="00825859">
            <w:pPr>
              <w:pStyle w:val="Paragraphedeliste"/>
              <w:numPr>
                <w:ilvl w:val="0"/>
                <w:numId w:val="17"/>
              </w:numPr>
              <w:jc w:val="both"/>
              <w:rPr>
                <w:sz w:val="20"/>
                <w:szCs w:val="20"/>
              </w:rPr>
            </w:pPr>
            <w:r w:rsidRPr="005C0AAC">
              <w:rPr>
                <w:sz w:val="20"/>
                <w:szCs w:val="20"/>
              </w:rPr>
              <w:t>Prendre contact avec des acteurs ayant déjà bénéficié du dispositif (en France, la Ville de Lyon a par exemple déjà contracté un tel prêt).</w:t>
            </w:r>
          </w:p>
        </w:tc>
      </w:tr>
    </w:tbl>
    <w:p w14:paraId="348BFA08" w14:textId="77777777" w:rsidR="00A076CC" w:rsidRDefault="00A076CC" w:rsidP="005C0AAC">
      <w:pPr>
        <w:jc w:val="center"/>
        <w:rPr>
          <w:b/>
          <w:bCs/>
          <w:u w:val="single"/>
        </w:rPr>
      </w:pPr>
    </w:p>
    <w:p w14:paraId="7903D573" w14:textId="77777777" w:rsidR="00223ADB" w:rsidRDefault="00223ADB" w:rsidP="005C0AAC">
      <w:pPr>
        <w:jc w:val="center"/>
        <w:rPr>
          <w:b/>
          <w:bCs/>
          <w:u w:val="single"/>
        </w:rPr>
      </w:pPr>
    </w:p>
    <w:p w14:paraId="2320A719" w14:textId="77777777" w:rsidR="00A3225E" w:rsidRPr="00DB501E" w:rsidRDefault="00A3225E" w:rsidP="005C0AAC">
      <w:pPr>
        <w:jc w:val="center"/>
        <w:rPr>
          <w:sz w:val="20"/>
          <w:szCs w:val="20"/>
        </w:rPr>
      </w:pPr>
      <w:r w:rsidRPr="00DB501E">
        <w:rPr>
          <w:b/>
          <w:bCs/>
          <w:u w:val="single"/>
        </w:rPr>
        <w:t>Les prêts-cadres en appui aux Fonds</w:t>
      </w:r>
      <w:r w:rsidR="000F4876" w:rsidRPr="00DB501E">
        <w:rPr>
          <w:b/>
          <w:bCs/>
          <w:u w:val="single"/>
        </w:rPr>
        <w:t xml:space="preserve"> européens</w:t>
      </w:r>
      <w:r w:rsidRPr="00DB501E">
        <w:rPr>
          <w:b/>
          <w:bCs/>
          <w:u w:val="single"/>
        </w:rPr>
        <w:t xml:space="preserve"> structurels et d’investissements (FESI)</w:t>
      </w:r>
    </w:p>
    <w:p w14:paraId="36B7298C" w14:textId="77777777" w:rsidR="005C0AAC" w:rsidRDefault="005C0AAC" w:rsidP="005C0AAC">
      <w:pPr>
        <w:pStyle w:val="Paragraphedeliste"/>
        <w:ind w:left="360"/>
        <w:jc w:val="both"/>
      </w:pPr>
    </w:p>
    <w:p w14:paraId="2BC1B3EE" w14:textId="77777777" w:rsidR="005C0AAC" w:rsidRDefault="005C0AAC" w:rsidP="00825859">
      <w:pPr>
        <w:pStyle w:val="Paragraphedeliste"/>
        <w:numPr>
          <w:ilvl w:val="0"/>
          <w:numId w:val="18"/>
        </w:numPr>
        <w:ind w:left="360"/>
        <w:jc w:val="both"/>
      </w:pPr>
      <w:r>
        <w:t>Le principe est le même que pour les prêts-cadres décrits ci-dessus.</w:t>
      </w:r>
    </w:p>
    <w:p w14:paraId="412083A8" w14:textId="77777777" w:rsidR="00A3225E" w:rsidRDefault="00A3225E" w:rsidP="00825859">
      <w:pPr>
        <w:pStyle w:val="Paragraphedeliste"/>
        <w:numPr>
          <w:ilvl w:val="0"/>
          <w:numId w:val="10"/>
        </w:numPr>
        <w:ind w:left="360"/>
        <w:jc w:val="both"/>
      </w:pPr>
      <w:r>
        <w:t>Utilisés</w:t>
      </w:r>
      <w:r w:rsidR="000B4B97">
        <w:t xml:space="preserve"> par les </w:t>
      </w:r>
      <w:r w:rsidR="004B4E69">
        <w:t>R</w:t>
      </w:r>
      <w:r w:rsidR="000B4B97">
        <w:t xml:space="preserve">égions pour </w:t>
      </w:r>
      <w:r w:rsidR="000B4B97" w:rsidRPr="005C0AAC">
        <w:rPr>
          <w:b/>
          <w:bCs/>
        </w:rPr>
        <w:t>préfinancer les</w:t>
      </w:r>
      <w:r w:rsidRPr="005C0AAC">
        <w:rPr>
          <w:b/>
          <w:bCs/>
        </w:rPr>
        <w:t xml:space="preserve"> co-financement</w:t>
      </w:r>
      <w:r w:rsidR="000B4B97" w:rsidRPr="005C0AAC">
        <w:rPr>
          <w:b/>
          <w:bCs/>
        </w:rPr>
        <w:t>s</w:t>
      </w:r>
      <w:r w:rsidRPr="005C0AAC">
        <w:rPr>
          <w:b/>
          <w:bCs/>
        </w:rPr>
        <w:t xml:space="preserve"> nécessaire</w:t>
      </w:r>
      <w:r w:rsidR="000B4B97" w:rsidRPr="005C0AAC">
        <w:rPr>
          <w:b/>
          <w:bCs/>
        </w:rPr>
        <w:t>s</w:t>
      </w:r>
      <w:r w:rsidRPr="005C0AAC">
        <w:rPr>
          <w:b/>
          <w:bCs/>
        </w:rPr>
        <w:t xml:space="preserve"> aux projets bénéficiaires des FESI</w:t>
      </w:r>
      <w:r w:rsidR="004B4E69">
        <w:t>.</w:t>
      </w:r>
    </w:p>
    <w:p w14:paraId="1767A7D7" w14:textId="77777777" w:rsidR="00BB2CA8" w:rsidRDefault="00BB2CA8" w:rsidP="00825859">
      <w:pPr>
        <w:pStyle w:val="Paragraphedeliste"/>
        <w:numPr>
          <w:ilvl w:val="0"/>
          <w:numId w:val="10"/>
        </w:numPr>
        <w:ind w:left="360"/>
        <w:jc w:val="both"/>
      </w:pPr>
      <w:r>
        <w:t>Viennent en soutien de programmes entier</w:t>
      </w:r>
      <w:r w:rsidR="004B4E69">
        <w:t>s</w:t>
      </w:r>
      <w:r>
        <w:t>, finançant des milliers de petits projets qui ne pourraient pas individuellement bénéficier de l’appui de la BEI</w:t>
      </w:r>
      <w:r w:rsidR="004B4E69">
        <w:t>.</w:t>
      </w:r>
    </w:p>
    <w:p w14:paraId="7E9E947B" w14:textId="77777777" w:rsidR="00BB2CA8" w:rsidRDefault="00BB2CA8" w:rsidP="00825859">
      <w:pPr>
        <w:pStyle w:val="Paragraphedeliste"/>
        <w:numPr>
          <w:ilvl w:val="0"/>
          <w:numId w:val="10"/>
        </w:numPr>
        <w:ind w:left="360"/>
        <w:jc w:val="both"/>
      </w:pPr>
      <w:r>
        <w:t>L</w:t>
      </w:r>
      <w:r w:rsidRPr="00731DF1">
        <w:t xml:space="preserve">e concours de la BEI et de l’UE </w:t>
      </w:r>
      <w:r w:rsidR="004B4E69" w:rsidRPr="00731DF1">
        <w:t xml:space="preserve">ne pourra dépasser 70 % </w:t>
      </w:r>
      <w:r w:rsidR="004B4E69">
        <w:t>du programme d’investissement pour les régions développées et 90% pour les régions en transition ou les moins développées.</w:t>
      </w:r>
    </w:p>
    <w:p w14:paraId="24B3276D" w14:textId="77777777" w:rsidR="00BB2CA8" w:rsidRDefault="00BB2CA8" w:rsidP="00825859">
      <w:pPr>
        <w:pStyle w:val="Paragraphedeliste"/>
        <w:numPr>
          <w:ilvl w:val="0"/>
          <w:numId w:val="10"/>
        </w:numPr>
        <w:ind w:left="360"/>
        <w:jc w:val="both"/>
      </w:pPr>
      <w:r>
        <w:t>La procédure pour en bénéficier comporte également une phase d’évaluation sur différents aspects (système de contrôle interne, analyse des secteurs couverts par le programme, des critères de sélection des projets, la capacité à coordonner le prêt, etc.)</w:t>
      </w:r>
    </w:p>
    <w:p w14:paraId="07FC3414" w14:textId="39359295" w:rsidR="00371200" w:rsidRDefault="000B4B97" w:rsidP="00825859">
      <w:pPr>
        <w:pStyle w:val="Paragraphedeliste"/>
        <w:numPr>
          <w:ilvl w:val="0"/>
          <w:numId w:val="10"/>
        </w:numPr>
        <w:ind w:left="360"/>
        <w:jc w:val="both"/>
      </w:pPr>
      <w:r>
        <w:t>Un premier décaissement de 30% est également prévu</w:t>
      </w:r>
      <w:r w:rsidR="00A17413" w:rsidRPr="00A17413">
        <w:t xml:space="preserve"> </w:t>
      </w:r>
      <w:r w:rsidR="00A17413">
        <w:t>après la signature</w:t>
      </w:r>
      <w:r>
        <w:t>, les suivants dépendent du nombre de projets alloués au prêt BEI.</w:t>
      </w:r>
    </w:p>
    <w:p w14:paraId="71668E92" w14:textId="77777777" w:rsidR="005C0AAC" w:rsidRDefault="005C0AAC" w:rsidP="005C0AAC">
      <w:pPr>
        <w:jc w:val="both"/>
      </w:pPr>
    </w:p>
    <w:tbl>
      <w:tblPr>
        <w:tblStyle w:val="Grilledutableau"/>
        <w:tblW w:w="9918" w:type="dxa"/>
        <w:tblLook w:val="04A0" w:firstRow="1" w:lastRow="0" w:firstColumn="1" w:lastColumn="0" w:noHBand="0" w:noVBand="1"/>
      </w:tblPr>
      <w:tblGrid>
        <w:gridCol w:w="2405"/>
        <w:gridCol w:w="7513"/>
      </w:tblGrid>
      <w:tr w:rsidR="005D1468" w:rsidRPr="005C0AAC" w14:paraId="72115714" w14:textId="77777777" w:rsidTr="00D71AB1">
        <w:tc>
          <w:tcPr>
            <w:tcW w:w="2405" w:type="dxa"/>
            <w:shd w:val="clear" w:color="auto" w:fill="5F497A" w:themeFill="accent4" w:themeFillShade="BF"/>
          </w:tcPr>
          <w:p w14:paraId="067876CC" w14:textId="77777777" w:rsidR="005D1468" w:rsidRPr="00646C64" w:rsidRDefault="005D1468" w:rsidP="005D1468">
            <w:pPr>
              <w:jc w:val="both"/>
              <w:rPr>
                <w:b/>
                <w:bCs/>
                <w:color w:val="FFFFFF" w:themeColor="background1"/>
              </w:rPr>
            </w:pPr>
            <w:r w:rsidRPr="00646C64">
              <w:rPr>
                <w:b/>
                <w:bCs/>
                <w:color w:val="FFFFFF" w:themeColor="background1"/>
              </w:rPr>
              <w:t xml:space="preserve">Exemple </w:t>
            </w:r>
            <w:r>
              <w:rPr>
                <w:b/>
                <w:bCs/>
                <w:color w:val="FFFFFF" w:themeColor="background1"/>
              </w:rPr>
              <w:t>de projet</w:t>
            </w:r>
          </w:p>
        </w:tc>
        <w:tc>
          <w:tcPr>
            <w:tcW w:w="7513" w:type="dxa"/>
            <w:shd w:val="clear" w:color="auto" w:fill="auto"/>
          </w:tcPr>
          <w:p w14:paraId="5672180C" w14:textId="77777777" w:rsidR="005D1468" w:rsidRPr="00EC0B0D" w:rsidRDefault="005D1468" w:rsidP="005D1468">
            <w:pPr>
              <w:jc w:val="both"/>
              <w:rPr>
                <w:sz w:val="20"/>
                <w:szCs w:val="20"/>
              </w:rPr>
            </w:pPr>
            <w:r w:rsidRPr="00EC0B0D">
              <w:rPr>
                <w:sz w:val="20"/>
                <w:szCs w:val="20"/>
              </w:rPr>
              <w:t xml:space="preserve">La BEI a par exemple accordé en 2015 à la Galice (région espagnole) un prêt de 400 millions d’euros, destiné au cofinancement d'investissements relevant du programme opérationnel du FEDER et du programme de développement rural du FEADER pour la période 2014-2020, ainsi qu'au financement d'autres investissements de la Communauté autonome de Galice répondant aux mêmes objectifs stratégiques. Plus d’informations </w:t>
            </w:r>
            <w:hyperlink r:id="rId18" w:history="1">
              <w:r w:rsidRPr="00EC0B0D">
                <w:rPr>
                  <w:rStyle w:val="Lienhypertexte"/>
                  <w:sz w:val="20"/>
                  <w:szCs w:val="20"/>
                </w:rPr>
                <w:t>ici</w:t>
              </w:r>
            </w:hyperlink>
            <w:r w:rsidRPr="00EC0B0D">
              <w:rPr>
                <w:sz w:val="20"/>
                <w:szCs w:val="20"/>
              </w:rPr>
              <w:t>.</w:t>
            </w:r>
          </w:p>
        </w:tc>
      </w:tr>
      <w:tr w:rsidR="005C0AAC" w:rsidRPr="005C0AAC" w14:paraId="5DDF392B" w14:textId="77777777" w:rsidTr="00D71AB1">
        <w:tc>
          <w:tcPr>
            <w:tcW w:w="2405" w:type="dxa"/>
            <w:shd w:val="clear" w:color="auto" w:fill="5F497A" w:themeFill="accent4" w:themeFillShade="BF"/>
          </w:tcPr>
          <w:p w14:paraId="1E46887D" w14:textId="77777777" w:rsidR="005C0AAC" w:rsidRPr="00646C64" w:rsidRDefault="005C0AAC" w:rsidP="005C0AAC">
            <w:pPr>
              <w:jc w:val="both"/>
              <w:rPr>
                <w:b/>
                <w:bCs/>
                <w:color w:val="FFFFFF" w:themeColor="background1"/>
              </w:rPr>
            </w:pPr>
            <w:r w:rsidRPr="00646C64">
              <w:rPr>
                <w:b/>
                <w:bCs/>
                <w:color w:val="FFFFFF" w:themeColor="background1"/>
              </w:rPr>
              <w:t>Ressources</w:t>
            </w:r>
          </w:p>
        </w:tc>
        <w:tc>
          <w:tcPr>
            <w:tcW w:w="7513" w:type="dxa"/>
            <w:shd w:val="clear" w:color="auto" w:fill="auto"/>
          </w:tcPr>
          <w:p w14:paraId="12EEDE62" w14:textId="77777777" w:rsidR="005C0AAC" w:rsidRPr="00EC0B0D" w:rsidRDefault="000839EC" w:rsidP="005C0AAC">
            <w:pPr>
              <w:jc w:val="both"/>
              <w:rPr>
                <w:sz w:val="20"/>
                <w:szCs w:val="20"/>
              </w:rPr>
            </w:pPr>
            <w:hyperlink r:id="rId19" w:history="1">
              <w:r w:rsidR="005C0AAC" w:rsidRPr="00EC0B0D">
                <w:rPr>
                  <w:rStyle w:val="Lienhypertexte"/>
                  <w:sz w:val="20"/>
                  <w:szCs w:val="20"/>
                </w:rPr>
                <w:t>Lien utile</w:t>
              </w:r>
            </w:hyperlink>
          </w:p>
          <w:p w14:paraId="70D60734" w14:textId="77777777" w:rsidR="005C0AAC" w:rsidRPr="00EC0B0D" w:rsidRDefault="005C0AAC" w:rsidP="005C0AAC">
            <w:pPr>
              <w:jc w:val="both"/>
              <w:rPr>
                <w:sz w:val="20"/>
                <w:szCs w:val="20"/>
              </w:rPr>
            </w:pPr>
          </w:p>
        </w:tc>
      </w:tr>
      <w:tr w:rsidR="005C0AAC" w:rsidRPr="005C0AAC" w14:paraId="31CA25B1" w14:textId="77777777" w:rsidTr="00D71AB1">
        <w:tc>
          <w:tcPr>
            <w:tcW w:w="2405" w:type="dxa"/>
            <w:shd w:val="clear" w:color="auto" w:fill="5F497A" w:themeFill="accent4" w:themeFillShade="BF"/>
          </w:tcPr>
          <w:p w14:paraId="57A11A62" w14:textId="77777777" w:rsidR="005C0AAC" w:rsidRPr="00646C64" w:rsidRDefault="005D1468" w:rsidP="005C0AAC">
            <w:pPr>
              <w:jc w:val="both"/>
              <w:rPr>
                <w:b/>
                <w:bCs/>
                <w:color w:val="FFFFFF" w:themeColor="background1"/>
              </w:rPr>
            </w:pPr>
            <w:r>
              <w:rPr>
                <w:b/>
                <w:bCs/>
                <w:color w:val="FFFFFF" w:themeColor="background1"/>
              </w:rPr>
              <w:t>Pour recourir au dispositif</w:t>
            </w:r>
          </w:p>
        </w:tc>
        <w:tc>
          <w:tcPr>
            <w:tcW w:w="7513" w:type="dxa"/>
            <w:shd w:val="clear" w:color="auto" w:fill="auto"/>
          </w:tcPr>
          <w:p w14:paraId="5A7E13CA" w14:textId="77777777" w:rsidR="005C0AAC" w:rsidRPr="00EC0B0D" w:rsidRDefault="005D1468" w:rsidP="005C0AAC">
            <w:pPr>
              <w:jc w:val="both"/>
              <w:rPr>
                <w:sz w:val="20"/>
                <w:szCs w:val="20"/>
              </w:rPr>
            </w:pPr>
            <w:r w:rsidRPr="00EC0B0D">
              <w:rPr>
                <w:sz w:val="20"/>
                <w:szCs w:val="20"/>
              </w:rPr>
              <w:t xml:space="preserve">Contactez le </w:t>
            </w:r>
            <w:hyperlink r:id="rId20" w:history="1">
              <w:r w:rsidRPr="00EC0B0D">
                <w:rPr>
                  <w:rStyle w:val="Lienhypertexte"/>
                  <w:sz w:val="20"/>
                  <w:szCs w:val="20"/>
                </w:rPr>
                <w:t>bureau local de la BEI en France</w:t>
              </w:r>
            </w:hyperlink>
          </w:p>
        </w:tc>
      </w:tr>
    </w:tbl>
    <w:p w14:paraId="3314D410" w14:textId="77777777" w:rsidR="004B4E69" w:rsidRDefault="004B4E69" w:rsidP="00D43F2D">
      <w:pPr>
        <w:jc w:val="both"/>
      </w:pPr>
    </w:p>
    <w:p w14:paraId="41183EB5" w14:textId="77777777" w:rsidR="00223ADB" w:rsidRDefault="00223ADB" w:rsidP="00D43F2D">
      <w:pPr>
        <w:jc w:val="both"/>
      </w:pPr>
    </w:p>
    <w:p w14:paraId="5A2A77E0" w14:textId="77777777" w:rsidR="00D43F2D" w:rsidRPr="00DB501E" w:rsidRDefault="00D43F2D" w:rsidP="005513A2">
      <w:pPr>
        <w:jc w:val="center"/>
        <w:rPr>
          <w:sz w:val="20"/>
          <w:szCs w:val="20"/>
        </w:rPr>
      </w:pPr>
      <w:r w:rsidRPr="00DB501E">
        <w:rPr>
          <w:b/>
          <w:bCs/>
          <w:u w:val="single"/>
        </w:rPr>
        <w:t>La mise en œuvre des instruments financiers au titre des Fonds structurels et d’investissement (FESI)</w:t>
      </w:r>
    </w:p>
    <w:p w14:paraId="2A45A936" w14:textId="77777777" w:rsidR="00DB501E" w:rsidRDefault="00DB501E" w:rsidP="007C614C">
      <w:pPr>
        <w:jc w:val="both"/>
      </w:pPr>
    </w:p>
    <w:p w14:paraId="4D79587B" w14:textId="77777777" w:rsidR="00F767B6" w:rsidRDefault="00D43F2D" w:rsidP="007C614C">
      <w:pPr>
        <w:jc w:val="both"/>
      </w:pPr>
      <w:r>
        <w:t xml:space="preserve">Il est à noter qu’en cas de mise en place d’instruments financiers pour la mise en œuvre des fonds structurels, les tâches d’exécution peuvent être confiées à la BEI. Plus d’informations sur </w:t>
      </w:r>
      <w:hyperlink r:id="rId21" w:history="1">
        <w:r w:rsidRPr="00D43F2D">
          <w:rPr>
            <w:rStyle w:val="Lienhypertexte"/>
          </w:rPr>
          <w:t>fi-</w:t>
        </w:r>
        <w:proofErr w:type="spellStart"/>
        <w:r w:rsidRPr="00D43F2D">
          <w:rPr>
            <w:rStyle w:val="Lienhypertexte"/>
          </w:rPr>
          <w:t>compass</w:t>
        </w:r>
        <w:proofErr w:type="spellEnd"/>
      </w:hyperlink>
      <w:r>
        <w:t>.</w:t>
      </w:r>
    </w:p>
    <w:p w14:paraId="434434AF" w14:textId="77777777" w:rsidR="0074232F" w:rsidRDefault="0074232F" w:rsidP="00273F09"/>
    <w:p w14:paraId="2AA5FAC9" w14:textId="77777777" w:rsidR="00223ADB" w:rsidRDefault="00223ADB">
      <w:pPr>
        <w:rPr>
          <w:b/>
          <w:bCs/>
          <w:i/>
          <w:iCs/>
          <w:color w:val="8064A2" w:themeColor="accent4"/>
          <w:sz w:val="24"/>
          <w:szCs w:val="24"/>
        </w:rPr>
      </w:pPr>
    </w:p>
    <w:p w14:paraId="3C92C95C" w14:textId="77777777" w:rsidR="00B50FDE" w:rsidRPr="003C7AC8" w:rsidRDefault="00B50FDE" w:rsidP="00B50FDE">
      <w:pPr>
        <w:pStyle w:val="Style1"/>
      </w:pPr>
      <w:r>
        <w:t>Prêts à l’investissement du secteur public</w:t>
      </w:r>
    </w:p>
    <w:p w14:paraId="6643AE2E" w14:textId="77777777" w:rsidR="00B50FDE" w:rsidRDefault="00B50FDE" w:rsidP="00B50FDE"/>
    <w:tbl>
      <w:tblPr>
        <w:tblStyle w:val="Grilledutableau"/>
        <w:tblW w:w="10060" w:type="dxa"/>
        <w:tblLook w:val="04A0" w:firstRow="1" w:lastRow="0" w:firstColumn="1" w:lastColumn="0" w:noHBand="0" w:noVBand="1"/>
      </w:tblPr>
      <w:tblGrid>
        <w:gridCol w:w="3685"/>
        <w:gridCol w:w="2689"/>
        <w:gridCol w:w="3686"/>
      </w:tblGrid>
      <w:tr w:rsidR="00B50FDE" w:rsidRPr="00AB15DE" w14:paraId="74E4CDD7" w14:textId="77777777" w:rsidTr="00765F85">
        <w:tc>
          <w:tcPr>
            <w:tcW w:w="10060" w:type="dxa"/>
            <w:gridSpan w:val="3"/>
            <w:shd w:val="clear" w:color="auto" w:fill="5F497A" w:themeFill="accent4" w:themeFillShade="BF"/>
          </w:tcPr>
          <w:p w14:paraId="4D7DF9CB" w14:textId="77777777" w:rsidR="00B50FDE" w:rsidRPr="00B50FDE" w:rsidRDefault="00B50FDE" w:rsidP="00765F85">
            <w:pPr>
              <w:jc w:val="center"/>
              <w:rPr>
                <w:b/>
                <w:bCs/>
                <w:color w:val="FFFFFF" w:themeColor="background1"/>
              </w:rPr>
            </w:pPr>
            <w:r>
              <w:rPr>
                <w:b/>
                <w:bCs/>
                <w:color w:val="FFFFFF" w:themeColor="background1"/>
              </w:rPr>
              <w:t>Caractéristiques clefs</w:t>
            </w:r>
          </w:p>
        </w:tc>
      </w:tr>
      <w:tr w:rsidR="00B50FDE" w:rsidRPr="00AB15DE" w14:paraId="59A19CE1" w14:textId="77777777" w:rsidTr="00765F85">
        <w:tc>
          <w:tcPr>
            <w:tcW w:w="3685" w:type="dxa"/>
            <w:shd w:val="clear" w:color="auto" w:fill="B2A1C7" w:themeFill="accent4" w:themeFillTint="99"/>
          </w:tcPr>
          <w:p w14:paraId="08B99CEE" w14:textId="77777777" w:rsidR="00B50FDE" w:rsidRDefault="00B50FDE" w:rsidP="00765F85">
            <w:pPr>
              <w:rPr>
                <w:b/>
                <w:bCs/>
                <w:sz w:val="24"/>
                <w:szCs w:val="24"/>
                <w:u w:val="single"/>
              </w:rPr>
            </w:pPr>
            <w:r w:rsidRPr="00AB15DE">
              <w:rPr>
                <w:b/>
                <w:bCs/>
              </w:rPr>
              <w:t>Principe général</w:t>
            </w:r>
          </w:p>
        </w:tc>
        <w:tc>
          <w:tcPr>
            <w:tcW w:w="2689" w:type="dxa"/>
            <w:shd w:val="clear" w:color="auto" w:fill="B2A1C7" w:themeFill="accent4" w:themeFillTint="99"/>
          </w:tcPr>
          <w:p w14:paraId="53C6189F" w14:textId="77777777" w:rsidR="00B50FDE" w:rsidRDefault="00B50FDE" w:rsidP="00765F85">
            <w:pPr>
              <w:rPr>
                <w:b/>
                <w:bCs/>
              </w:rPr>
            </w:pPr>
            <w:r w:rsidRPr="00F52B67">
              <w:rPr>
                <w:b/>
                <w:bCs/>
              </w:rPr>
              <w:t>Porteurs éligibles</w:t>
            </w:r>
          </w:p>
        </w:tc>
        <w:tc>
          <w:tcPr>
            <w:tcW w:w="3686" w:type="dxa"/>
            <w:shd w:val="clear" w:color="auto" w:fill="B2A1C7" w:themeFill="accent4" w:themeFillTint="99"/>
          </w:tcPr>
          <w:p w14:paraId="71AB7482" w14:textId="77777777" w:rsidR="00B50FDE" w:rsidRPr="00AB15DE" w:rsidRDefault="00B50FDE" w:rsidP="00765F85">
            <w:pPr>
              <w:rPr>
                <w:b/>
                <w:bCs/>
              </w:rPr>
            </w:pPr>
            <w:r>
              <w:rPr>
                <w:b/>
                <w:bCs/>
              </w:rPr>
              <w:t>Dispositions financières</w:t>
            </w:r>
          </w:p>
        </w:tc>
      </w:tr>
      <w:tr w:rsidR="00B50FDE" w:rsidRPr="005513A2" w14:paraId="2319D119" w14:textId="77777777" w:rsidTr="00765F85">
        <w:tc>
          <w:tcPr>
            <w:tcW w:w="3685" w:type="dxa"/>
          </w:tcPr>
          <w:p w14:paraId="280C551B" w14:textId="77777777" w:rsidR="00B50FDE" w:rsidRPr="00EC0B0D" w:rsidRDefault="00B50FDE" w:rsidP="00825859">
            <w:pPr>
              <w:pStyle w:val="Paragraphedeliste"/>
              <w:numPr>
                <w:ilvl w:val="0"/>
                <w:numId w:val="19"/>
              </w:numPr>
              <w:rPr>
                <w:sz w:val="20"/>
                <w:szCs w:val="20"/>
              </w:rPr>
            </w:pPr>
            <w:r w:rsidRPr="00EC0B0D">
              <w:rPr>
                <w:sz w:val="20"/>
                <w:szCs w:val="20"/>
              </w:rPr>
              <w:t>Financement d’un projet d’investissement porté par un acteur public via un prêt de la BEI</w:t>
            </w:r>
          </w:p>
          <w:p w14:paraId="7C29BFD3" w14:textId="77777777" w:rsidR="00B50FDE" w:rsidRPr="00EC0B0D" w:rsidRDefault="00B50FDE" w:rsidP="00825859">
            <w:pPr>
              <w:pStyle w:val="Paragraphedeliste"/>
              <w:numPr>
                <w:ilvl w:val="0"/>
                <w:numId w:val="19"/>
              </w:numPr>
              <w:jc w:val="both"/>
              <w:rPr>
                <w:sz w:val="20"/>
                <w:szCs w:val="20"/>
              </w:rPr>
            </w:pPr>
            <w:r w:rsidRPr="00EC0B0D">
              <w:rPr>
                <w:sz w:val="20"/>
                <w:szCs w:val="20"/>
              </w:rPr>
              <w:t>Le projet financé doit correspondre aux priorités de la BEI, qui comportent notamment le climat et la durabilité environnementale, l’innovation et les infrastructures.</w:t>
            </w:r>
          </w:p>
        </w:tc>
        <w:tc>
          <w:tcPr>
            <w:tcW w:w="2689" w:type="dxa"/>
          </w:tcPr>
          <w:p w14:paraId="68B10BBE" w14:textId="77777777" w:rsidR="00B50FDE" w:rsidRPr="00EC0B0D" w:rsidRDefault="00B50FDE" w:rsidP="00825859">
            <w:pPr>
              <w:pStyle w:val="Paragraphedeliste"/>
              <w:numPr>
                <w:ilvl w:val="0"/>
                <w:numId w:val="14"/>
              </w:numPr>
              <w:rPr>
                <w:sz w:val="20"/>
                <w:szCs w:val="20"/>
              </w:rPr>
            </w:pPr>
            <w:r w:rsidRPr="00EC0B0D">
              <w:rPr>
                <w:sz w:val="20"/>
                <w:szCs w:val="20"/>
              </w:rPr>
              <w:t>Etats</w:t>
            </w:r>
          </w:p>
          <w:p w14:paraId="6B1C6F3B" w14:textId="77777777" w:rsidR="00B50FDE" w:rsidRPr="00EC0B0D" w:rsidRDefault="00B50FDE" w:rsidP="00825859">
            <w:pPr>
              <w:pStyle w:val="Paragraphedeliste"/>
              <w:numPr>
                <w:ilvl w:val="0"/>
                <w:numId w:val="14"/>
              </w:numPr>
              <w:rPr>
                <w:sz w:val="20"/>
                <w:szCs w:val="20"/>
              </w:rPr>
            </w:pPr>
            <w:r w:rsidRPr="00EC0B0D">
              <w:rPr>
                <w:sz w:val="20"/>
                <w:szCs w:val="20"/>
              </w:rPr>
              <w:t>Agences, administrations, institutions et ministères nationaux</w:t>
            </w:r>
          </w:p>
          <w:p w14:paraId="3CE42A43" w14:textId="77777777" w:rsidR="00B50FDE" w:rsidRPr="00EC0B0D" w:rsidRDefault="00B50FDE" w:rsidP="00825859">
            <w:pPr>
              <w:pStyle w:val="Paragraphedeliste"/>
              <w:numPr>
                <w:ilvl w:val="0"/>
                <w:numId w:val="14"/>
              </w:numPr>
              <w:rPr>
                <w:sz w:val="20"/>
                <w:szCs w:val="20"/>
              </w:rPr>
            </w:pPr>
            <w:r w:rsidRPr="00EC0B0D">
              <w:rPr>
                <w:sz w:val="20"/>
                <w:szCs w:val="20"/>
              </w:rPr>
              <w:t>Collectivités locales et régionales</w:t>
            </w:r>
          </w:p>
          <w:p w14:paraId="183621B0" w14:textId="77777777" w:rsidR="00B50FDE" w:rsidRPr="00EC0B0D" w:rsidRDefault="00B50FDE" w:rsidP="00825859">
            <w:pPr>
              <w:pStyle w:val="Paragraphedeliste"/>
              <w:numPr>
                <w:ilvl w:val="0"/>
                <w:numId w:val="15"/>
              </w:numPr>
              <w:rPr>
                <w:sz w:val="20"/>
                <w:szCs w:val="20"/>
              </w:rPr>
            </w:pPr>
            <w:r w:rsidRPr="00EC0B0D">
              <w:rPr>
                <w:sz w:val="20"/>
                <w:szCs w:val="20"/>
              </w:rPr>
              <w:t>Entreprises publiques</w:t>
            </w:r>
          </w:p>
          <w:p w14:paraId="6FB70C24" w14:textId="77777777" w:rsidR="00B50FDE" w:rsidRPr="00EC0B0D" w:rsidRDefault="00B50FDE" w:rsidP="00765F85">
            <w:pPr>
              <w:rPr>
                <w:sz w:val="20"/>
                <w:szCs w:val="20"/>
              </w:rPr>
            </w:pPr>
            <w:r w:rsidRPr="00EC0B0D">
              <w:rPr>
                <w:i/>
                <w:iCs/>
                <w:sz w:val="20"/>
                <w:szCs w:val="20"/>
              </w:rPr>
              <w:t>.</w:t>
            </w:r>
          </w:p>
        </w:tc>
        <w:tc>
          <w:tcPr>
            <w:tcW w:w="3686" w:type="dxa"/>
          </w:tcPr>
          <w:p w14:paraId="5C59AB8D" w14:textId="77777777" w:rsidR="00B50FDE" w:rsidRPr="00EC0B0D" w:rsidRDefault="00B50FDE" w:rsidP="00825859">
            <w:pPr>
              <w:pStyle w:val="Paragraphedeliste"/>
              <w:numPr>
                <w:ilvl w:val="0"/>
                <w:numId w:val="15"/>
              </w:numPr>
              <w:rPr>
                <w:sz w:val="20"/>
                <w:szCs w:val="20"/>
              </w:rPr>
            </w:pPr>
            <w:r w:rsidRPr="00EC0B0D">
              <w:rPr>
                <w:sz w:val="20"/>
                <w:szCs w:val="20"/>
              </w:rPr>
              <w:t>Montant du prêt : au moins 25 millions €</w:t>
            </w:r>
          </w:p>
          <w:p w14:paraId="77171E68" w14:textId="77777777" w:rsidR="00B50FDE" w:rsidRPr="00EC0B0D" w:rsidRDefault="00B50FDE" w:rsidP="00825859">
            <w:pPr>
              <w:pStyle w:val="Paragraphedeliste"/>
              <w:numPr>
                <w:ilvl w:val="0"/>
                <w:numId w:val="15"/>
              </w:numPr>
              <w:rPr>
                <w:b/>
                <w:bCs/>
                <w:sz w:val="20"/>
                <w:szCs w:val="20"/>
              </w:rPr>
            </w:pPr>
            <w:r w:rsidRPr="00EC0B0D">
              <w:rPr>
                <w:sz w:val="20"/>
                <w:szCs w:val="20"/>
              </w:rPr>
              <w:t xml:space="preserve">Le prêt peut représenter </w:t>
            </w:r>
            <w:r w:rsidRPr="00EC0B0D">
              <w:rPr>
                <w:b/>
                <w:bCs/>
                <w:sz w:val="20"/>
                <w:szCs w:val="20"/>
              </w:rPr>
              <w:t>jusqu’à 50% du coût total du projet</w:t>
            </w:r>
          </w:p>
          <w:p w14:paraId="4CF661FC" w14:textId="77777777" w:rsidR="00B50FDE" w:rsidRPr="00EC0B0D" w:rsidRDefault="00B50FDE" w:rsidP="00825859">
            <w:pPr>
              <w:pStyle w:val="Paragraphedeliste"/>
              <w:numPr>
                <w:ilvl w:val="0"/>
                <w:numId w:val="15"/>
              </w:numPr>
              <w:jc w:val="both"/>
              <w:rPr>
                <w:sz w:val="20"/>
                <w:szCs w:val="20"/>
              </w:rPr>
            </w:pPr>
            <w:r w:rsidRPr="00EC0B0D">
              <w:rPr>
                <w:sz w:val="20"/>
                <w:szCs w:val="20"/>
              </w:rPr>
              <w:t>Le prêt finance les coûts d’investissement sur une période pouvant aller jusqu’à 3 ans voire davantage.</w:t>
            </w:r>
          </w:p>
        </w:tc>
      </w:tr>
    </w:tbl>
    <w:p w14:paraId="307769AD" w14:textId="77777777" w:rsidR="0074232F" w:rsidRPr="0074232F" w:rsidRDefault="0074232F" w:rsidP="0074232F">
      <w:pPr>
        <w:jc w:val="both"/>
        <w:rPr>
          <w:sz w:val="10"/>
          <w:szCs w:val="10"/>
        </w:rPr>
      </w:pPr>
    </w:p>
    <w:tbl>
      <w:tblPr>
        <w:tblStyle w:val="Grilledutableau"/>
        <w:tblW w:w="10060" w:type="dxa"/>
        <w:tblLook w:val="04A0" w:firstRow="1" w:lastRow="0" w:firstColumn="1" w:lastColumn="0" w:noHBand="0" w:noVBand="1"/>
      </w:tblPr>
      <w:tblGrid>
        <w:gridCol w:w="2405"/>
        <w:gridCol w:w="7655"/>
      </w:tblGrid>
      <w:tr w:rsidR="005D1468" w:rsidRPr="005C0AAC" w14:paraId="3F451CC4" w14:textId="77777777" w:rsidTr="00D71AB1">
        <w:tc>
          <w:tcPr>
            <w:tcW w:w="2405" w:type="dxa"/>
            <w:shd w:val="clear" w:color="auto" w:fill="5F497A" w:themeFill="accent4" w:themeFillShade="BF"/>
          </w:tcPr>
          <w:p w14:paraId="701DD129" w14:textId="77777777" w:rsidR="005D1468" w:rsidRDefault="005D1468" w:rsidP="005D1468">
            <w:pPr>
              <w:jc w:val="both"/>
              <w:rPr>
                <w:b/>
                <w:bCs/>
                <w:color w:val="FFFFFF" w:themeColor="background1"/>
              </w:rPr>
            </w:pPr>
            <w:r w:rsidRPr="00646C64">
              <w:rPr>
                <w:b/>
                <w:bCs/>
                <w:color w:val="FFFFFF" w:themeColor="background1"/>
              </w:rPr>
              <w:t>Ressources</w:t>
            </w:r>
          </w:p>
        </w:tc>
        <w:tc>
          <w:tcPr>
            <w:tcW w:w="7655" w:type="dxa"/>
            <w:shd w:val="clear" w:color="auto" w:fill="auto"/>
          </w:tcPr>
          <w:p w14:paraId="42EDFE64" w14:textId="77777777" w:rsidR="005D1468" w:rsidRPr="00EC0B0D" w:rsidRDefault="000839EC" w:rsidP="005D1468">
            <w:pPr>
              <w:rPr>
                <w:sz w:val="20"/>
                <w:szCs w:val="20"/>
              </w:rPr>
            </w:pPr>
            <w:hyperlink r:id="rId22" w:history="1">
              <w:r w:rsidR="005D1468" w:rsidRPr="00EC0B0D">
                <w:rPr>
                  <w:rStyle w:val="Lienhypertexte"/>
                  <w:sz w:val="20"/>
                  <w:szCs w:val="20"/>
                </w:rPr>
                <w:t>Lien utile</w:t>
              </w:r>
            </w:hyperlink>
          </w:p>
        </w:tc>
      </w:tr>
      <w:tr w:rsidR="0074232F" w:rsidRPr="005C0AAC" w14:paraId="665BE20F" w14:textId="77777777" w:rsidTr="00D71AB1">
        <w:tc>
          <w:tcPr>
            <w:tcW w:w="2405" w:type="dxa"/>
            <w:shd w:val="clear" w:color="auto" w:fill="5F497A" w:themeFill="accent4" w:themeFillShade="BF"/>
          </w:tcPr>
          <w:p w14:paraId="596D6E42" w14:textId="77777777" w:rsidR="0074232F" w:rsidRPr="00646C64" w:rsidRDefault="0074232F" w:rsidP="00765F85">
            <w:pPr>
              <w:jc w:val="both"/>
              <w:rPr>
                <w:b/>
                <w:bCs/>
                <w:color w:val="FFFFFF" w:themeColor="background1"/>
              </w:rPr>
            </w:pPr>
            <w:r>
              <w:rPr>
                <w:b/>
                <w:bCs/>
                <w:color w:val="FFFFFF" w:themeColor="background1"/>
              </w:rPr>
              <w:t>P</w:t>
            </w:r>
            <w:r w:rsidRPr="00646C64">
              <w:rPr>
                <w:b/>
                <w:bCs/>
                <w:color w:val="FFFFFF" w:themeColor="background1"/>
              </w:rPr>
              <w:t>our recourir au dispositif</w:t>
            </w:r>
          </w:p>
        </w:tc>
        <w:tc>
          <w:tcPr>
            <w:tcW w:w="7655" w:type="dxa"/>
            <w:shd w:val="clear" w:color="auto" w:fill="auto"/>
          </w:tcPr>
          <w:p w14:paraId="562BB8C3" w14:textId="77777777" w:rsidR="0074232F" w:rsidRPr="00EC0B0D" w:rsidRDefault="0074232F" w:rsidP="005D1468">
            <w:pPr>
              <w:rPr>
                <w:sz w:val="20"/>
                <w:szCs w:val="20"/>
              </w:rPr>
            </w:pPr>
            <w:r w:rsidRPr="00EC0B0D">
              <w:rPr>
                <w:sz w:val="20"/>
                <w:szCs w:val="20"/>
              </w:rPr>
              <w:t xml:space="preserve">Pour plus d’informations et solliciter un prêt, contactez le </w:t>
            </w:r>
            <w:hyperlink r:id="rId23" w:history="1">
              <w:r w:rsidRPr="00EC0B0D">
                <w:rPr>
                  <w:rStyle w:val="Lienhypertexte"/>
                  <w:sz w:val="20"/>
                  <w:szCs w:val="20"/>
                </w:rPr>
                <w:t>bureau local de la BEI en France</w:t>
              </w:r>
            </w:hyperlink>
          </w:p>
        </w:tc>
      </w:tr>
    </w:tbl>
    <w:p w14:paraId="6DFC55C1" w14:textId="77777777" w:rsidR="005D1468" w:rsidRDefault="005D1468" w:rsidP="00273F09"/>
    <w:p w14:paraId="0472B412" w14:textId="77777777" w:rsidR="00EC0B0D" w:rsidRDefault="00EC0B0D" w:rsidP="00273F09"/>
    <w:p w14:paraId="3F72B9D5" w14:textId="77777777" w:rsidR="004B061D" w:rsidRPr="003C7AC8" w:rsidRDefault="004B061D" w:rsidP="004B061D">
      <w:pPr>
        <w:pStyle w:val="Style1"/>
      </w:pPr>
      <w:r>
        <w:t>Co-investissement, y compris i</w:t>
      </w:r>
      <w:r w:rsidRPr="004B061D">
        <w:t>nvestissements dans les fonds d’infrastructures et les fonds environnementaux</w:t>
      </w:r>
    </w:p>
    <w:p w14:paraId="2F4FE910" w14:textId="77777777" w:rsidR="005513A2" w:rsidRDefault="005513A2" w:rsidP="005513A2">
      <w:pPr>
        <w:jc w:val="both"/>
      </w:pPr>
    </w:p>
    <w:tbl>
      <w:tblPr>
        <w:tblStyle w:val="Grilledutableau"/>
        <w:tblW w:w="10060" w:type="dxa"/>
        <w:tblLook w:val="04A0" w:firstRow="1" w:lastRow="0" w:firstColumn="1" w:lastColumn="0" w:noHBand="0" w:noVBand="1"/>
      </w:tblPr>
      <w:tblGrid>
        <w:gridCol w:w="3681"/>
        <w:gridCol w:w="3685"/>
        <w:gridCol w:w="2694"/>
      </w:tblGrid>
      <w:tr w:rsidR="005513A2" w:rsidRPr="00AB15DE" w14:paraId="2A26A1E2" w14:textId="77777777" w:rsidTr="005513A2">
        <w:tc>
          <w:tcPr>
            <w:tcW w:w="10060" w:type="dxa"/>
            <w:gridSpan w:val="3"/>
            <w:shd w:val="clear" w:color="auto" w:fill="5F497A" w:themeFill="accent4" w:themeFillShade="BF"/>
          </w:tcPr>
          <w:p w14:paraId="27ACC5A2" w14:textId="77777777" w:rsidR="005513A2" w:rsidRPr="005513A2" w:rsidRDefault="005513A2" w:rsidP="005513A2">
            <w:pPr>
              <w:jc w:val="center"/>
              <w:rPr>
                <w:b/>
                <w:bCs/>
                <w:color w:val="FFFFFF" w:themeColor="background1"/>
              </w:rPr>
            </w:pPr>
            <w:r>
              <w:rPr>
                <w:b/>
                <w:bCs/>
                <w:color w:val="FFFFFF" w:themeColor="background1"/>
              </w:rPr>
              <w:t>Caractéristiques clefs</w:t>
            </w:r>
          </w:p>
        </w:tc>
      </w:tr>
      <w:tr w:rsidR="005513A2" w:rsidRPr="00AB15DE" w14:paraId="4B781458" w14:textId="77777777" w:rsidTr="005513A2">
        <w:tc>
          <w:tcPr>
            <w:tcW w:w="3681" w:type="dxa"/>
            <w:shd w:val="clear" w:color="auto" w:fill="B2A1C7" w:themeFill="accent4" w:themeFillTint="99"/>
          </w:tcPr>
          <w:p w14:paraId="271D2043" w14:textId="77777777" w:rsidR="005513A2" w:rsidRDefault="005513A2" w:rsidP="005513A2">
            <w:pPr>
              <w:rPr>
                <w:b/>
                <w:bCs/>
                <w:sz w:val="24"/>
                <w:szCs w:val="24"/>
                <w:u w:val="single"/>
              </w:rPr>
            </w:pPr>
            <w:r w:rsidRPr="00AB15DE">
              <w:rPr>
                <w:b/>
                <w:bCs/>
              </w:rPr>
              <w:t>Principe général</w:t>
            </w:r>
          </w:p>
        </w:tc>
        <w:tc>
          <w:tcPr>
            <w:tcW w:w="3685" w:type="dxa"/>
            <w:shd w:val="clear" w:color="auto" w:fill="B2A1C7" w:themeFill="accent4" w:themeFillTint="99"/>
          </w:tcPr>
          <w:p w14:paraId="236B76EB" w14:textId="77777777" w:rsidR="005513A2" w:rsidRPr="00AB15DE" w:rsidRDefault="005513A2" w:rsidP="005513A2">
            <w:pPr>
              <w:rPr>
                <w:b/>
                <w:bCs/>
              </w:rPr>
            </w:pPr>
            <w:r>
              <w:rPr>
                <w:b/>
                <w:bCs/>
              </w:rPr>
              <w:t>Dispositions financières</w:t>
            </w:r>
          </w:p>
        </w:tc>
        <w:tc>
          <w:tcPr>
            <w:tcW w:w="2694" w:type="dxa"/>
            <w:shd w:val="clear" w:color="auto" w:fill="B2A1C7" w:themeFill="accent4" w:themeFillTint="99"/>
          </w:tcPr>
          <w:p w14:paraId="6CBDE145" w14:textId="77777777" w:rsidR="005513A2" w:rsidRPr="00AB15DE" w:rsidRDefault="005513A2" w:rsidP="005513A2">
            <w:pPr>
              <w:rPr>
                <w:b/>
                <w:bCs/>
              </w:rPr>
            </w:pPr>
            <w:r w:rsidRPr="00AB15DE">
              <w:rPr>
                <w:b/>
                <w:bCs/>
              </w:rPr>
              <w:t>Durée</w:t>
            </w:r>
          </w:p>
        </w:tc>
      </w:tr>
      <w:tr w:rsidR="005513A2" w:rsidRPr="005C0AAC" w14:paraId="43E8D2A0" w14:textId="77777777" w:rsidTr="005513A2">
        <w:tc>
          <w:tcPr>
            <w:tcW w:w="3681" w:type="dxa"/>
          </w:tcPr>
          <w:p w14:paraId="58B14C9C" w14:textId="77777777" w:rsidR="005513A2" w:rsidRPr="005513A2" w:rsidRDefault="005513A2" w:rsidP="005513A2">
            <w:pPr>
              <w:rPr>
                <w:sz w:val="20"/>
                <w:szCs w:val="20"/>
              </w:rPr>
            </w:pPr>
            <w:r w:rsidRPr="005513A2">
              <w:rPr>
                <w:sz w:val="20"/>
                <w:szCs w:val="20"/>
              </w:rPr>
              <w:t>La BEI peut investir dans des fonds de participation ou de dette ciblant des projets liés à l’action climatique et/ou aux infrastructures, qui peuvent être :</w:t>
            </w:r>
          </w:p>
          <w:p w14:paraId="24D4D1F1" w14:textId="77777777" w:rsidR="005513A2" w:rsidRPr="005513A2" w:rsidRDefault="005513A2" w:rsidP="00825859">
            <w:pPr>
              <w:pStyle w:val="Paragraphedeliste"/>
              <w:numPr>
                <w:ilvl w:val="0"/>
                <w:numId w:val="19"/>
              </w:numPr>
              <w:rPr>
                <w:sz w:val="20"/>
                <w:szCs w:val="20"/>
              </w:rPr>
            </w:pPr>
            <w:r w:rsidRPr="005513A2">
              <w:rPr>
                <w:sz w:val="20"/>
                <w:szCs w:val="20"/>
              </w:rPr>
              <w:t>Des fonds privés,</w:t>
            </w:r>
          </w:p>
          <w:p w14:paraId="1386D927" w14:textId="77777777" w:rsidR="005513A2" w:rsidRPr="005513A2" w:rsidRDefault="005513A2" w:rsidP="00825859">
            <w:pPr>
              <w:pStyle w:val="Paragraphedeliste"/>
              <w:numPr>
                <w:ilvl w:val="0"/>
                <w:numId w:val="19"/>
              </w:numPr>
              <w:rPr>
                <w:sz w:val="20"/>
                <w:szCs w:val="20"/>
              </w:rPr>
            </w:pPr>
            <w:r w:rsidRPr="005513A2">
              <w:rPr>
                <w:sz w:val="20"/>
                <w:szCs w:val="20"/>
              </w:rPr>
              <w:t>Des fonds captifs ou des plateformes d’investissement promus par des entités du secteur public.</w:t>
            </w:r>
          </w:p>
        </w:tc>
        <w:tc>
          <w:tcPr>
            <w:tcW w:w="3685" w:type="dxa"/>
          </w:tcPr>
          <w:p w14:paraId="37457566" w14:textId="77777777" w:rsidR="005513A2" w:rsidRPr="005513A2" w:rsidRDefault="005513A2" w:rsidP="00825859">
            <w:pPr>
              <w:pStyle w:val="Paragraphedeliste"/>
              <w:numPr>
                <w:ilvl w:val="0"/>
                <w:numId w:val="12"/>
              </w:numPr>
              <w:rPr>
                <w:sz w:val="20"/>
                <w:szCs w:val="20"/>
              </w:rPr>
            </w:pPr>
            <w:r w:rsidRPr="005513A2">
              <w:rPr>
                <w:sz w:val="20"/>
                <w:szCs w:val="20"/>
              </w:rPr>
              <w:t xml:space="preserve">Part de l’investissement de la BEI dans le fonds : </w:t>
            </w:r>
            <w:r w:rsidR="00AE3A03">
              <w:rPr>
                <w:sz w:val="20"/>
                <w:szCs w:val="20"/>
              </w:rPr>
              <w:t>en général</w:t>
            </w:r>
            <w:r w:rsidRPr="005513A2">
              <w:rPr>
                <w:sz w:val="20"/>
                <w:szCs w:val="20"/>
              </w:rPr>
              <w:t xml:space="preserve"> de 10 à 20%</w:t>
            </w:r>
            <w:r w:rsidR="00AE3A03">
              <w:rPr>
                <w:sz w:val="20"/>
                <w:szCs w:val="20"/>
              </w:rPr>
              <w:t xml:space="preserve">, exceptionnellement jusqu’à </w:t>
            </w:r>
            <w:r w:rsidRPr="005513A2">
              <w:rPr>
                <w:sz w:val="20"/>
                <w:szCs w:val="20"/>
              </w:rPr>
              <w:t>25%.</w:t>
            </w:r>
          </w:p>
          <w:p w14:paraId="7EB5A7C9" w14:textId="77777777" w:rsidR="005513A2" w:rsidRPr="005513A2" w:rsidRDefault="005513A2" w:rsidP="005513A2">
            <w:pPr>
              <w:pStyle w:val="Paragraphedeliste"/>
              <w:ind w:left="360"/>
              <w:rPr>
                <w:sz w:val="20"/>
                <w:szCs w:val="20"/>
              </w:rPr>
            </w:pPr>
          </w:p>
          <w:p w14:paraId="19F2D324" w14:textId="77777777" w:rsidR="005513A2" w:rsidRPr="005513A2" w:rsidRDefault="005513A2" w:rsidP="00825859">
            <w:pPr>
              <w:pStyle w:val="Paragraphedeliste"/>
              <w:numPr>
                <w:ilvl w:val="0"/>
                <w:numId w:val="12"/>
              </w:numPr>
              <w:rPr>
                <w:sz w:val="20"/>
                <w:szCs w:val="20"/>
              </w:rPr>
            </w:pPr>
            <w:r w:rsidRPr="005513A2">
              <w:rPr>
                <w:sz w:val="20"/>
                <w:szCs w:val="20"/>
              </w:rPr>
              <w:t>Montant de l’investissement de la BEI : entre 25 et 60 millions € (jusqu’à 200 millions sous certaines conditions).</w:t>
            </w:r>
          </w:p>
          <w:p w14:paraId="139ACF24" w14:textId="77777777" w:rsidR="005513A2" w:rsidRPr="005513A2" w:rsidRDefault="005513A2" w:rsidP="005513A2">
            <w:pPr>
              <w:rPr>
                <w:sz w:val="20"/>
                <w:szCs w:val="20"/>
              </w:rPr>
            </w:pPr>
          </w:p>
        </w:tc>
        <w:tc>
          <w:tcPr>
            <w:tcW w:w="2694" w:type="dxa"/>
          </w:tcPr>
          <w:p w14:paraId="3509615C" w14:textId="77777777" w:rsidR="005513A2" w:rsidRPr="005513A2" w:rsidRDefault="005513A2" w:rsidP="005513A2">
            <w:pPr>
              <w:rPr>
                <w:sz w:val="20"/>
                <w:szCs w:val="20"/>
              </w:rPr>
            </w:pPr>
            <w:r w:rsidRPr="005513A2">
              <w:rPr>
                <w:sz w:val="20"/>
                <w:szCs w:val="20"/>
              </w:rPr>
              <w:t>Durée du prêt : équivalente à la durée de vie du fonds, en général 10 à 12 ans (mais cela peut être étendu à 25 ans ou plus).</w:t>
            </w:r>
          </w:p>
        </w:tc>
      </w:tr>
    </w:tbl>
    <w:p w14:paraId="55E5138C" w14:textId="77777777" w:rsidR="005513A2" w:rsidRDefault="005513A2" w:rsidP="005513A2">
      <w:pPr>
        <w:pStyle w:val="Paragraphedeliste"/>
        <w:ind w:left="360"/>
        <w:jc w:val="both"/>
      </w:pPr>
    </w:p>
    <w:p w14:paraId="502BD061" w14:textId="77777777" w:rsidR="00FB6D00" w:rsidRDefault="00FB6D00" w:rsidP="00825859">
      <w:pPr>
        <w:pStyle w:val="Paragraphedeliste"/>
        <w:numPr>
          <w:ilvl w:val="0"/>
          <w:numId w:val="12"/>
        </w:numPr>
        <w:jc w:val="both"/>
      </w:pPr>
      <w:r>
        <w:lastRenderedPageBreak/>
        <w:t>En principe, les fonds à capital variable (permanents) ne peuvent bénéficier d’un investissement de la BEI, sauf si une solution de désengagement est définie au préalable.</w:t>
      </w:r>
    </w:p>
    <w:p w14:paraId="3BE5F001" w14:textId="77777777" w:rsidR="00325BA7" w:rsidRDefault="00325BA7" w:rsidP="00825859">
      <w:pPr>
        <w:pStyle w:val="Paragraphedeliste"/>
        <w:numPr>
          <w:ilvl w:val="0"/>
          <w:numId w:val="12"/>
        </w:numPr>
        <w:jc w:val="both"/>
      </w:pPr>
      <w:r>
        <w:t>Les décisions d’investissement appartiennent toujours à l’entité gestionnaire du fonds</w:t>
      </w:r>
      <w:r w:rsidR="001C08CD">
        <w:t>.</w:t>
      </w:r>
    </w:p>
    <w:p w14:paraId="7F353D3C" w14:textId="77777777" w:rsidR="00325BA7" w:rsidRDefault="00325BA7" w:rsidP="00EA758D">
      <w:pPr>
        <w:jc w:val="both"/>
      </w:pPr>
    </w:p>
    <w:tbl>
      <w:tblPr>
        <w:tblStyle w:val="Grilledutableau"/>
        <w:tblW w:w="9918" w:type="dxa"/>
        <w:tblLook w:val="04A0" w:firstRow="1" w:lastRow="0" w:firstColumn="1" w:lastColumn="0" w:noHBand="0" w:noVBand="1"/>
      </w:tblPr>
      <w:tblGrid>
        <w:gridCol w:w="2405"/>
        <w:gridCol w:w="7513"/>
      </w:tblGrid>
      <w:tr w:rsidR="005D1468" w:rsidRPr="005C0AAC" w14:paraId="489A4FE6" w14:textId="77777777" w:rsidTr="005D1468">
        <w:tc>
          <w:tcPr>
            <w:tcW w:w="2405" w:type="dxa"/>
            <w:shd w:val="clear" w:color="auto" w:fill="5F497A" w:themeFill="accent4" w:themeFillShade="BF"/>
          </w:tcPr>
          <w:p w14:paraId="387B3610" w14:textId="77777777" w:rsidR="005D1468" w:rsidRPr="00646C64" w:rsidRDefault="005D1468" w:rsidP="005D1468">
            <w:pPr>
              <w:jc w:val="both"/>
              <w:rPr>
                <w:b/>
                <w:bCs/>
                <w:color w:val="FFFFFF" w:themeColor="background1"/>
              </w:rPr>
            </w:pPr>
            <w:r w:rsidRPr="00646C64">
              <w:rPr>
                <w:b/>
                <w:bCs/>
                <w:color w:val="FFFFFF" w:themeColor="background1"/>
              </w:rPr>
              <w:t xml:space="preserve">Exemple </w:t>
            </w:r>
            <w:r>
              <w:rPr>
                <w:b/>
                <w:bCs/>
                <w:color w:val="FFFFFF" w:themeColor="background1"/>
              </w:rPr>
              <w:t>de projet</w:t>
            </w:r>
          </w:p>
        </w:tc>
        <w:tc>
          <w:tcPr>
            <w:tcW w:w="7513" w:type="dxa"/>
            <w:shd w:val="clear" w:color="auto" w:fill="auto"/>
          </w:tcPr>
          <w:p w14:paraId="69D5C2AD" w14:textId="77777777" w:rsidR="005D1468" w:rsidRPr="00EC0B0D" w:rsidRDefault="005D1468" w:rsidP="005D1468">
            <w:pPr>
              <w:jc w:val="both"/>
              <w:rPr>
                <w:sz w:val="20"/>
                <w:szCs w:val="20"/>
              </w:rPr>
            </w:pPr>
            <w:r w:rsidRPr="00EC0B0D">
              <w:rPr>
                <w:sz w:val="20"/>
                <w:szCs w:val="20"/>
              </w:rPr>
              <w:t xml:space="preserve">La BEI a par exemple investi dans le fonds privé </w:t>
            </w:r>
            <w:hyperlink r:id="rId24" w:history="1">
              <w:r w:rsidRPr="00EC0B0D">
                <w:rPr>
                  <w:rStyle w:val="Lienhypertexte"/>
                  <w:sz w:val="20"/>
                  <w:szCs w:val="20"/>
                </w:rPr>
                <w:t>Gingko II</w:t>
              </w:r>
            </w:hyperlink>
            <w:r w:rsidRPr="00EC0B0D">
              <w:rPr>
                <w:sz w:val="20"/>
                <w:szCs w:val="20"/>
              </w:rPr>
              <w:t xml:space="preserve">, un instrument d’investissement dédié à la dépollution et à la transformation de sites industriels pollués en milieu urbain en Europe avec pour objectif le traitement du passif environnemental, le positionnement des sites dépollués aux fins d’un aménagement immobilier résidentiel et (ou) commercial et, partant, le ralentissement de l’expansion urbaine. Plus d’informations </w:t>
            </w:r>
            <w:hyperlink r:id="rId25" w:history="1">
              <w:r w:rsidRPr="00EC0B0D">
                <w:rPr>
                  <w:rStyle w:val="Lienhypertexte"/>
                  <w:sz w:val="20"/>
                  <w:szCs w:val="20"/>
                </w:rPr>
                <w:t>ici</w:t>
              </w:r>
            </w:hyperlink>
            <w:r w:rsidRPr="00EC0B0D">
              <w:rPr>
                <w:sz w:val="20"/>
                <w:szCs w:val="20"/>
              </w:rPr>
              <w:t>.</w:t>
            </w:r>
          </w:p>
        </w:tc>
      </w:tr>
      <w:tr w:rsidR="005513A2" w:rsidRPr="005C0AAC" w14:paraId="724D9832" w14:textId="77777777" w:rsidTr="005D1468">
        <w:tc>
          <w:tcPr>
            <w:tcW w:w="2405" w:type="dxa"/>
            <w:shd w:val="clear" w:color="auto" w:fill="5F497A" w:themeFill="accent4" w:themeFillShade="BF"/>
          </w:tcPr>
          <w:p w14:paraId="62F7F75B" w14:textId="77777777" w:rsidR="005513A2" w:rsidRPr="00646C64" w:rsidRDefault="005513A2" w:rsidP="00765F85">
            <w:pPr>
              <w:jc w:val="both"/>
              <w:rPr>
                <w:b/>
                <w:bCs/>
                <w:color w:val="FFFFFF" w:themeColor="background1"/>
              </w:rPr>
            </w:pPr>
            <w:r w:rsidRPr="00646C64">
              <w:rPr>
                <w:b/>
                <w:bCs/>
                <w:color w:val="FFFFFF" w:themeColor="background1"/>
              </w:rPr>
              <w:t>Ressources</w:t>
            </w:r>
          </w:p>
        </w:tc>
        <w:tc>
          <w:tcPr>
            <w:tcW w:w="7513" w:type="dxa"/>
            <w:shd w:val="clear" w:color="auto" w:fill="auto"/>
          </w:tcPr>
          <w:p w14:paraId="5DD93EDD" w14:textId="77777777" w:rsidR="005513A2" w:rsidRPr="00EC0B0D" w:rsidRDefault="000839EC" w:rsidP="00765F85">
            <w:pPr>
              <w:jc w:val="both"/>
              <w:rPr>
                <w:sz w:val="20"/>
                <w:szCs w:val="20"/>
              </w:rPr>
            </w:pPr>
            <w:hyperlink r:id="rId26" w:history="1">
              <w:r w:rsidR="005513A2" w:rsidRPr="00EC0B0D">
                <w:rPr>
                  <w:rStyle w:val="Lienhypertexte"/>
                  <w:sz w:val="20"/>
                  <w:szCs w:val="20"/>
                </w:rPr>
                <w:t>Lien utile</w:t>
              </w:r>
            </w:hyperlink>
          </w:p>
        </w:tc>
      </w:tr>
      <w:tr w:rsidR="005D1468" w:rsidRPr="005C0AAC" w14:paraId="0C5C7888" w14:textId="77777777" w:rsidTr="005D1468">
        <w:tc>
          <w:tcPr>
            <w:tcW w:w="2405" w:type="dxa"/>
            <w:shd w:val="clear" w:color="auto" w:fill="5F497A" w:themeFill="accent4" w:themeFillShade="BF"/>
          </w:tcPr>
          <w:p w14:paraId="25D4B64B" w14:textId="77777777" w:rsidR="005D1468" w:rsidRPr="00646C64" w:rsidRDefault="005D1468" w:rsidP="00765F85">
            <w:pPr>
              <w:jc w:val="both"/>
              <w:rPr>
                <w:b/>
                <w:bCs/>
                <w:color w:val="FFFFFF" w:themeColor="background1"/>
              </w:rPr>
            </w:pPr>
            <w:r>
              <w:rPr>
                <w:b/>
                <w:bCs/>
                <w:color w:val="FFFFFF" w:themeColor="background1"/>
              </w:rPr>
              <w:t>Pour recourir au dispositif</w:t>
            </w:r>
          </w:p>
        </w:tc>
        <w:tc>
          <w:tcPr>
            <w:tcW w:w="7513" w:type="dxa"/>
            <w:shd w:val="clear" w:color="auto" w:fill="auto"/>
          </w:tcPr>
          <w:p w14:paraId="6C622619" w14:textId="77777777" w:rsidR="005D1468" w:rsidRPr="00EC0B0D" w:rsidRDefault="005D1468" w:rsidP="00765F85">
            <w:pPr>
              <w:jc w:val="both"/>
              <w:rPr>
                <w:sz w:val="20"/>
                <w:szCs w:val="20"/>
              </w:rPr>
            </w:pPr>
            <w:r w:rsidRPr="00EC0B0D">
              <w:rPr>
                <w:sz w:val="20"/>
                <w:szCs w:val="20"/>
              </w:rPr>
              <w:t xml:space="preserve">Contactez </w:t>
            </w:r>
            <w:hyperlink r:id="rId27" w:history="1">
              <w:r w:rsidRPr="00EC0B0D">
                <w:rPr>
                  <w:rStyle w:val="Lienhypertexte"/>
                  <w:sz w:val="20"/>
                  <w:szCs w:val="20"/>
                </w:rPr>
                <w:t>le bureau local de la BEI en France</w:t>
              </w:r>
            </w:hyperlink>
          </w:p>
        </w:tc>
      </w:tr>
    </w:tbl>
    <w:p w14:paraId="5288BF2A" w14:textId="77777777" w:rsidR="0044676A" w:rsidRDefault="0044676A" w:rsidP="00273F09"/>
    <w:p w14:paraId="631A8C37" w14:textId="77777777" w:rsidR="004B061D" w:rsidRDefault="004B061D" w:rsidP="00273F09"/>
    <w:p w14:paraId="0C8211A5" w14:textId="77777777" w:rsidR="00273F09" w:rsidRPr="003C7AC8" w:rsidRDefault="00273F09" w:rsidP="00273F09">
      <w:pPr>
        <w:pStyle w:val="Style1"/>
      </w:pPr>
      <w:r>
        <w:t>Prêts pour les entreprises</w:t>
      </w:r>
    </w:p>
    <w:p w14:paraId="74EB9D7C" w14:textId="77777777" w:rsidR="00245123" w:rsidRDefault="00245123" w:rsidP="00797516">
      <w:pPr>
        <w:rPr>
          <w:b/>
          <w:bCs/>
          <w:u w:val="single"/>
        </w:rPr>
      </w:pPr>
    </w:p>
    <w:p w14:paraId="0E05A73E" w14:textId="77777777" w:rsidR="00E341CB" w:rsidRPr="00B50FDE" w:rsidRDefault="00245123" w:rsidP="00B50FDE">
      <w:pPr>
        <w:jc w:val="center"/>
        <w:rPr>
          <w:b/>
          <w:bCs/>
          <w:u w:val="single"/>
        </w:rPr>
      </w:pPr>
      <w:r w:rsidRPr="00B50FDE">
        <w:rPr>
          <w:b/>
          <w:bCs/>
          <w:u w:val="single"/>
        </w:rPr>
        <w:t xml:space="preserve">Grandes entreprises et </w:t>
      </w:r>
      <w:r w:rsidR="00354353" w:rsidRPr="00B50FDE">
        <w:rPr>
          <w:b/>
          <w:bCs/>
          <w:u w:val="single"/>
        </w:rPr>
        <w:t>entreprises de taille intermédiaire (ETI)</w:t>
      </w:r>
    </w:p>
    <w:p w14:paraId="09EDBF7B" w14:textId="77777777" w:rsidR="005D1468" w:rsidRDefault="005D1468" w:rsidP="005D1468"/>
    <w:tbl>
      <w:tblPr>
        <w:tblStyle w:val="Grilledutableau"/>
        <w:tblW w:w="9918" w:type="dxa"/>
        <w:tblLook w:val="04A0" w:firstRow="1" w:lastRow="0" w:firstColumn="1" w:lastColumn="0" w:noHBand="0" w:noVBand="1"/>
      </w:tblPr>
      <w:tblGrid>
        <w:gridCol w:w="2061"/>
        <w:gridCol w:w="2201"/>
        <w:gridCol w:w="4017"/>
        <w:gridCol w:w="1639"/>
      </w:tblGrid>
      <w:tr w:rsidR="005D1468" w:rsidRPr="005513A2" w14:paraId="68B75512" w14:textId="77777777" w:rsidTr="005D1468">
        <w:tc>
          <w:tcPr>
            <w:tcW w:w="9918" w:type="dxa"/>
            <w:gridSpan w:val="4"/>
            <w:shd w:val="clear" w:color="auto" w:fill="5F497A" w:themeFill="accent4" w:themeFillShade="BF"/>
          </w:tcPr>
          <w:p w14:paraId="00D78FE1" w14:textId="77777777" w:rsidR="005D1468" w:rsidRPr="005513A2" w:rsidRDefault="005D1468" w:rsidP="00765F85">
            <w:pPr>
              <w:jc w:val="center"/>
              <w:rPr>
                <w:b/>
                <w:bCs/>
                <w:color w:val="FFFFFF" w:themeColor="background1"/>
              </w:rPr>
            </w:pPr>
            <w:r>
              <w:rPr>
                <w:b/>
                <w:bCs/>
                <w:color w:val="FFFFFF" w:themeColor="background1"/>
              </w:rPr>
              <w:t>Caractéristiques clefs</w:t>
            </w:r>
          </w:p>
        </w:tc>
      </w:tr>
      <w:tr w:rsidR="005D1468" w:rsidRPr="00AB15DE" w14:paraId="70909E5C" w14:textId="77777777" w:rsidTr="007D28E5">
        <w:tc>
          <w:tcPr>
            <w:tcW w:w="2122" w:type="dxa"/>
            <w:shd w:val="clear" w:color="auto" w:fill="B2A1C7" w:themeFill="accent4" w:themeFillTint="99"/>
          </w:tcPr>
          <w:p w14:paraId="5C47856E" w14:textId="77777777" w:rsidR="005D1468" w:rsidRDefault="005D1468" w:rsidP="00765F85">
            <w:pPr>
              <w:rPr>
                <w:b/>
                <w:bCs/>
                <w:sz w:val="24"/>
                <w:szCs w:val="24"/>
                <w:u w:val="single"/>
              </w:rPr>
            </w:pPr>
            <w:r w:rsidRPr="00AB15DE">
              <w:rPr>
                <w:b/>
                <w:bCs/>
              </w:rPr>
              <w:t>Principe général</w:t>
            </w:r>
          </w:p>
        </w:tc>
        <w:tc>
          <w:tcPr>
            <w:tcW w:w="2268" w:type="dxa"/>
            <w:shd w:val="clear" w:color="auto" w:fill="B2A1C7" w:themeFill="accent4" w:themeFillTint="99"/>
          </w:tcPr>
          <w:p w14:paraId="3ED6B5DC" w14:textId="77777777" w:rsidR="005D1468" w:rsidRDefault="005D1468" w:rsidP="00765F85">
            <w:pPr>
              <w:rPr>
                <w:b/>
                <w:bCs/>
              </w:rPr>
            </w:pPr>
            <w:r>
              <w:rPr>
                <w:b/>
                <w:bCs/>
              </w:rPr>
              <w:t>Porteurs éligibles</w:t>
            </w:r>
          </w:p>
        </w:tc>
        <w:tc>
          <w:tcPr>
            <w:tcW w:w="4252" w:type="dxa"/>
            <w:shd w:val="clear" w:color="auto" w:fill="B2A1C7" w:themeFill="accent4" w:themeFillTint="99"/>
          </w:tcPr>
          <w:p w14:paraId="4E0B9E26" w14:textId="77777777" w:rsidR="005D1468" w:rsidRPr="00AB15DE" w:rsidRDefault="005D1468" w:rsidP="00765F85">
            <w:pPr>
              <w:rPr>
                <w:b/>
                <w:bCs/>
              </w:rPr>
            </w:pPr>
            <w:r>
              <w:rPr>
                <w:b/>
                <w:bCs/>
              </w:rPr>
              <w:t>Dispositions financières</w:t>
            </w:r>
          </w:p>
        </w:tc>
        <w:tc>
          <w:tcPr>
            <w:tcW w:w="1276" w:type="dxa"/>
            <w:shd w:val="clear" w:color="auto" w:fill="B2A1C7" w:themeFill="accent4" w:themeFillTint="99"/>
          </w:tcPr>
          <w:p w14:paraId="2EBF00DB" w14:textId="77777777" w:rsidR="005D1468" w:rsidRPr="00AB15DE" w:rsidRDefault="005D1468" w:rsidP="00765F85">
            <w:pPr>
              <w:rPr>
                <w:b/>
                <w:bCs/>
              </w:rPr>
            </w:pPr>
            <w:r w:rsidRPr="00AB15DE">
              <w:rPr>
                <w:b/>
                <w:bCs/>
              </w:rPr>
              <w:t>Durée</w:t>
            </w:r>
          </w:p>
        </w:tc>
      </w:tr>
      <w:tr w:rsidR="005D1468" w:rsidRPr="005513A2" w14:paraId="7CC507B5" w14:textId="77777777" w:rsidTr="007D28E5">
        <w:tc>
          <w:tcPr>
            <w:tcW w:w="2122" w:type="dxa"/>
          </w:tcPr>
          <w:p w14:paraId="7718103A" w14:textId="77777777" w:rsidR="005D1468" w:rsidRPr="005D1468" w:rsidRDefault="005D1468" w:rsidP="005D1468">
            <w:pPr>
              <w:rPr>
                <w:sz w:val="20"/>
                <w:szCs w:val="20"/>
              </w:rPr>
            </w:pPr>
            <w:r w:rsidRPr="005D1468">
              <w:rPr>
                <w:sz w:val="20"/>
                <w:szCs w:val="20"/>
              </w:rPr>
              <w:t>Prêts octroyés pour des projets ou des programmes d’investissement correspondant aux priorités de la BEI : financements sur projet, par emprunt ou dette hybride.</w:t>
            </w:r>
          </w:p>
        </w:tc>
        <w:tc>
          <w:tcPr>
            <w:tcW w:w="2268" w:type="dxa"/>
          </w:tcPr>
          <w:p w14:paraId="713374FB" w14:textId="77777777" w:rsidR="005D1468" w:rsidRPr="005D1468" w:rsidRDefault="005D1468" w:rsidP="00825859">
            <w:pPr>
              <w:pStyle w:val="Paragraphedeliste"/>
              <w:numPr>
                <w:ilvl w:val="0"/>
                <w:numId w:val="20"/>
              </w:numPr>
              <w:rPr>
                <w:sz w:val="20"/>
                <w:szCs w:val="20"/>
              </w:rPr>
            </w:pPr>
            <w:r w:rsidRPr="005D1468">
              <w:rPr>
                <w:sz w:val="20"/>
                <w:szCs w:val="20"/>
              </w:rPr>
              <w:t>Grandes entreprises ou groupes</w:t>
            </w:r>
          </w:p>
          <w:p w14:paraId="5E1BC162" w14:textId="62317781" w:rsidR="005D1468" w:rsidRPr="005D1468" w:rsidRDefault="005D1468" w:rsidP="00825859">
            <w:pPr>
              <w:pStyle w:val="Paragraphedeliste"/>
              <w:numPr>
                <w:ilvl w:val="0"/>
                <w:numId w:val="20"/>
              </w:numPr>
              <w:rPr>
                <w:sz w:val="20"/>
                <w:szCs w:val="20"/>
              </w:rPr>
            </w:pPr>
            <w:r w:rsidRPr="005D1468">
              <w:rPr>
                <w:sz w:val="20"/>
                <w:szCs w:val="20"/>
              </w:rPr>
              <w:t>ETI</w:t>
            </w:r>
            <w:r w:rsidR="00452D25">
              <w:rPr>
                <w:sz w:val="20"/>
                <w:szCs w:val="20"/>
              </w:rPr>
              <w:t xml:space="preserve"> (250 à 3000 </w:t>
            </w:r>
            <w:proofErr w:type="spellStart"/>
            <w:r w:rsidR="00452D25">
              <w:rPr>
                <w:sz w:val="20"/>
                <w:szCs w:val="20"/>
              </w:rPr>
              <w:t>emplpyés</w:t>
            </w:r>
            <w:proofErr w:type="spellEnd"/>
            <w:r w:rsidR="00452D25">
              <w:rPr>
                <w:sz w:val="20"/>
                <w:szCs w:val="20"/>
              </w:rPr>
              <w:t>)</w:t>
            </w:r>
          </w:p>
          <w:p w14:paraId="69D6C4B6" w14:textId="77777777" w:rsidR="005D1468" w:rsidRPr="005D1468" w:rsidRDefault="005D1468" w:rsidP="00825859">
            <w:pPr>
              <w:pStyle w:val="Paragraphedeliste"/>
              <w:numPr>
                <w:ilvl w:val="0"/>
                <w:numId w:val="20"/>
              </w:numPr>
              <w:rPr>
                <w:sz w:val="20"/>
                <w:szCs w:val="20"/>
              </w:rPr>
            </w:pPr>
            <w:r w:rsidRPr="005D1468">
              <w:rPr>
                <w:sz w:val="20"/>
                <w:szCs w:val="20"/>
              </w:rPr>
              <w:t>Sociétés de projet pour les financements sur projets – y compris les partenariats public-privé et les concessions</w:t>
            </w:r>
          </w:p>
        </w:tc>
        <w:tc>
          <w:tcPr>
            <w:tcW w:w="4252" w:type="dxa"/>
          </w:tcPr>
          <w:p w14:paraId="6F455A79" w14:textId="77777777" w:rsidR="005D1468" w:rsidRPr="005D1468" w:rsidRDefault="005D1468" w:rsidP="00825859">
            <w:pPr>
              <w:pStyle w:val="Paragraphedeliste"/>
              <w:numPr>
                <w:ilvl w:val="0"/>
                <w:numId w:val="20"/>
              </w:numPr>
              <w:rPr>
                <w:sz w:val="20"/>
                <w:szCs w:val="20"/>
              </w:rPr>
            </w:pPr>
            <w:r w:rsidRPr="005D1468">
              <w:rPr>
                <w:sz w:val="20"/>
                <w:szCs w:val="20"/>
              </w:rPr>
              <w:t>Le prêt couvre les coûts d’investissement en général sur une période maximale de trois ans : dépenses de recherche et de développement relatives aux installations ou activités.</w:t>
            </w:r>
          </w:p>
          <w:p w14:paraId="52ACC46C" w14:textId="77777777" w:rsidR="005D1468" w:rsidRPr="005D1468" w:rsidRDefault="005D1468" w:rsidP="00825859">
            <w:pPr>
              <w:pStyle w:val="Paragraphedeliste"/>
              <w:numPr>
                <w:ilvl w:val="0"/>
                <w:numId w:val="20"/>
              </w:numPr>
              <w:rPr>
                <w:sz w:val="20"/>
                <w:szCs w:val="20"/>
              </w:rPr>
            </w:pPr>
            <w:r w:rsidRPr="005D1468">
              <w:rPr>
                <w:sz w:val="20"/>
                <w:szCs w:val="20"/>
              </w:rPr>
              <w:t>Part maximale d</w:t>
            </w:r>
            <w:r>
              <w:rPr>
                <w:sz w:val="20"/>
                <w:szCs w:val="20"/>
              </w:rPr>
              <w:t>u financement de</w:t>
            </w:r>
            <w:r w:rsidRPr="005D1468">
              <w:rPr>
                <w:sz w:val="20"/>
                <w:szCs w:val="20"/>
              </w:rPr>
              <w:t xml:space="preserve"> la BEI : jusqu’à 50% du coût total du projet</w:t>
            </w:r>
          </w:p>
          <w:p w14:paraId="48F855CD" w14:textId="77777777" w:rsidR="005D1468" w:rsidRPr="005D1468" w:rsidRDefault="005D1468" w:rsidP="00825859">
            <w:pPr>
              <w:pStyle w:val="Paragraphedeliste"/>
              <w:numPr>
                <w:ilvl w:val="0"/>
                <w:numId w:val="20"/>
              </w:numPr>
              <w:rPr>
                <w:sz w:val="20"/>
                <w:szCs w:val="20"/>
              </w:rPr>
            </w:pPr>
            <w:r w:rsidRPr="005D1468">
              <w:rPr>
                <w:sz w:val="20"/>
                <w:szCs w:val="20"/>
              </w:rPr>
              <w:t>Montant du prêt : à partir de 25 millions € (des montants inférieurs pourraient être exceptionnellement prêtés dans certains cas)</w:t>
            </w:r>
          </w:p>
        </w:tc>
        <w:tc>
          <w:tcPr>
            <w:tcW w:w="1276" w:type="dxa"/>
          </w:tcPr>
          <w:p w14:paraId="7A0068E5" w14:textId="4D4C6622" w:rsidR="005D1468" w:rsidRPr="005D1468" w:rsidRDefault="005D1468" w:rsidP="00765F85">
            <w:pPr>
              <w:rPr>
                <w:sz w:val="20"/>
                <w:szCs w:val="20"/>
              </w:rPr>
            </w:pPr>
            <w:r w:rsidRPr="005D1468">
              <w:rPr>
                <w:sz w:val="20"/>
                <w:szCs w:val="20"/>
              </w:rPr>
              <w:t>Durée du prêt</w:t>
            </w:r>
            <w:r w:rsidR="00950AA3">
              <w:rPr>
                <w:sz w:val="20"/>
                <w:szCs w:val="20"/>
              </w:rPr>
              <w:t>, y compris la période de remboursement</w:t>
            </w:r>
            <w:r w:rsidRPr="005D1468">
              <w:rPr>
                <w:sz w:val="20"/>
                <w:szCs w:val="20"/>
              </w:rPr>
              <w:t> : jusqu’à 10 ans environ</w:t>
            </w:r>
          </w:p>
        </w:tc>
      </w:tr>
    </w:tbl>
    <w:p w14:paraId="2DC5A7F6" w14:textId="77777777" w:rsidR="00273F09" w:rsidRDefault="00273F09" w:rsidP="00797516"/>
    <w:tbl>
      <w:tblPr>
        <w:tblStyle w:val="Grilledutableau"/>
        <w:tblW w:w="9918" w:type="dxa"/>
        <w:tblLook w:val="04A0" w:firstRow="1" w:lastRow="0" w:firstColumn="1" w:lastColumn="0" w:noHBand="0" w:noVBand="1"/>
      </w:tblPr>
      <w:tblGrid>
        <w:gridCol w:w="2405"/>
        <w:gridCol w:w="7513"/>
      </w:tblGrid>
      <w:tr w:rsidR="005D1468" w14:paraId="76E1DC2A" w14:textId="77777777" w:rsidTr="00765F85">
        <w:tc>
          <w:tcPr>
            <w:tcW w:w="2405" w:type="dxa"/>
            <w:shd w:val="clear" w:color="auto" w:fill="5F497A" w:themeFill="accent4" w:themeFillShade="BF"/>
          </w:tcPr>
          <w:p w14:paraId="12C94FED" w14:textId="77777777" w:rsidR="005D1468" w:rsidRPr="00646C64" w:rsidRDefault="005D1468" w:rsidP="00765F85">
            <w:pPr>
              <w:jc w:val="both"/>
              <w:rPr>
                <w:b/>
                <w:bCs/>
                <w:color w:val="FFFFFF" w:themeColor="background1"/>
              </w:rPr>
            </w:pPr>
            <w:r w:rsidRPr="00646C64">
              <w:rPr>
                <w:b/>
                <w:bCs/>
                <w:color w:val="FFFFFF" w:themeColor="background1"/>
              </w:rPr>
              <w:t xml:space="preserve">Exemple </w:t>
            </w:r>
            <w:r>
              <w:rPr>
                <w:b/>
                <w:bCs/>
                <w:color w:val="FFFFFF" w:themeColor="background1"/>
              </w:rPr>
              <w:t>de projet</w:t>
            </w:r>
          </w:p>
        </w:tc>
        <w:tc>
          <w:tcPr>
            <w:tcW w:w="7513" w:type="dxa"/>
            <w:shd w:val="clear" w:color="auto" w:fill="auto"/>
          </w:tcPr>
          <w:p w14:paraId="500BFC7B" w14:textId="77777777" w:rsidR="005D1468" w:rsidRPr="00EC0B0D" w:rsidRDefault="005D1468" w:rsidP="00765F85">
            <w:pPr>
              <w:jc w:val="both"/>
              <w:rPr>
                <w:sz w:val="20"/>
                <w:szCs w:val="20"/>
              </w:rPr>
            </w:pPr>
            <w:r w:rsidRPr="00EC0B0D">
              <w:rPr>
                <w:sz w:val="20"/>
                <w:szCs w:val="20"/>
              </w:rPr>
              <w:t xml:space="preserve">La BEI a ainsi appuyé un projet innovant relatif aux batteries automobiles porté par l’entreprise suédoise </w:t>
            </w:r>
            <w:proofErr w:type="spellStart"/>
            <w:r w:rsidRPr="00EC0B0D">
              <w:rPr>
                <w:sz w:val="20"/>
                <w:szCs w:val="20"/>
              </w:rPr>
              <w:t>Northvolt</w:t>
            </w:r>
            <w:proofErr w:type="spellEnd"/>
            <w:r w:rsidRPr="00EC0B0D">
              <w:rPr>
                <w:sz w:val="20"/>
                <w:szCs w:val="20"/>
              </w:rPr>
              <w:t xml:space="preserve">, via le dispositif InnovFin. Ce prêt a permis à l’entreprise de construire une installation de démonstration de son concept non loin de Stockholm, afin de produire ce nouveau type de batterie. Plus d’informations </w:t>
            </w:r>
            <w:hyperlink r:id="rId28" w:history="1">
              <w:r w:rsidRPr="00EC0B0D">
                <w:rPr>
                  <w:rStyle w:val="Lienhypertexte"/>
                  <w:sz w:val="20"/>
                  <w:szCs w:val="20"/>
                </w:rPr>
                <w:t>ici</w:t>
              </w:r>
            </w:hyperlink>
            <w:r w:rsidRPr="00EC0B0D">
              <w:rPr>
                <w:sz w:val="20"/>
                <w:szCs w:val="20"/>
              </w:rPr>
              <w:t>.</w:t>
            </w:r>
          </w:p>
        </w:tc>
      </w:tr>
      <w:tr w:rsidR="005D1468" w:rsidRPr="005D1468" w14:paraId="597906E6" w14:textId="77777777" w:rsidTr="00765F85">
        <w:tc>
          <w:tcPr>
            <w:tcW w:w="2405" w:type="dxa"/>
            <w:shd w:val="clear" w:color="auto" w:fill="5F497A" w:themeFill="accent4" w:themeFillShade="BF"/>
          </w:tcPr>
          <w:p w14:paraId="51C81D29" w14:textId="77777777" w:rsidR="005D1468" w:rsidRPr="00646C64" w:rsidRDefault="005D1468" w:rsidP="00765F85">
            <w:pPr>
              <w:jc w:val="both"/>
              <w:rPr>
                <w:b/>
                <w:bCs/>
                <w:color w:val="FFFFFF" w:themeColor="background1"/>
              </w:rPr>
            </w:pPr>
            <w:r w:rsidRPr="00646C64">
              <w:rPr>
                <w:b/>
                <w:bCs/>
                <w:color w:val="FFFFFF" w:themeColor="background1"/>
              </w:rPr>
              <w:t>Ressources</w:t>
            </w:r>
          </w:p>
        </w:tc>
        <w:tc>
          <w:tcPr>
            <w:tcW w:w="7513" w:type="dxa"/>
            <w:shd w:val="clear" w:color="auto" w:fill="auto"/>
          </w:tcPr>
          <w:p w14:paraId="051388F0" w14:textId="77777777" w:rsidR="005D1468" w:rsidRPr="00EC0B0D" w:rsidRDefault="000839EC" w:rsidP="005D1468">
            <w:pPr>
              <w:rPr>
                <w:sz w:val="20"/>
                <w:szCs w:val="20"/>
              </w:rPr>
            </w:pPr>
            <w:hyperlink r:id="rId29" w:history="1">
              <w:r w:rsidR="005D1468" w:rsidRPr="00EC0B0D">
                <w:rPr>
                  <w:rStyle w:val="Lienhypertexte"/>
                  <w:sz w:val="20"/>
                  <w:szCs w:val="20"/>
                </w:rPr>
                <w:t>Lien utile</w:t>
              </w:r>
            </w:hyperlink>
          </w:p>
        </w:tc>
      </w:tr>
      <w:tr w:rsidR="005D1468" w14:paraId="00703917" w14:textId="77777777" w:rsidTr="00765F85">
        <w:tc>
          <w:tcPr>
            <w:tcW w:w="2405" w:type="dxa"/>
            <w:shd w:val="clear" w:color="auto" w:fill="5F497A" w:themeFill="accent4" w:themeFillShade="BF"/>
          </w:tcPr>
          <w:p w14:paraId="130A89BD" w14:textId="77777777" w:rsidR="005D1468" w:rsidRPr="00646C64" w:rsidRDefault="005D1468" w:rsidP="00765F85">
            <w:pPr>
              <w:jc w:val="both"/>
              <w:rPr>
                <w:b/>
                <w:bCs/>
                <w:color w:val="FFFFFF" w:themeColor="background1"/>
              </w:rPr>
            </w:pPr>
            <w:r>
              <w:rPr>
                <w:b/>
                <w:bCs/>
                <w:color w:val="FFFFFF" w:themeColor="background1"/>
              </w:rPr>
              <w:t>Pour recourir au dispositif</w:t>
            </w:r>
          </w:p>
        </w:tc>
        <w:tc>
          <w:tcPr>
            <w:tcW w:w="7513" w:type="dxa"/>
            <w:shd w:val="clear" w:color="auto" w:fill="auto"/>
          </w:tcPr>
          <w:p w14:paraId="1652C585" w14:textId="77777777" w:rsidR="005D1468" w:rsidRPr="00EC0B0D" w:rsidRDefault="005D1468" w:rsidP="00765F85">
            <w:pPr>
              <w:jc w:val="both"/>
              <w:rPr>
                <w:sz w:val="20"/>
                <w:szCs w:val="20"/>
              </w:rPr>
            </w:pPr>
            <w:r w:rsidRPr="00EC0B0D">
              <w:rPr>
                <w:sz w:val="20"/>
                <w:szCs w:val="20"/>
              </w:rPr>
              <w:t xml:space="preserve">Contactez </w:t>
            </w:r>
            <w:hyperlink r:id="rId30" w:history="1">
              <w:r w:rsidRPr="00EC0B0D">
                <w:rPr>
                  <w:rStyle w:val="Lienhypertexte"/>
                  <w:sz w:val="20"/>
                  <w:szCs w:val="20"/>
                </w:rPr>
                <w:t>le bureau local de la BEI en France</w:t>
              </w:r>
            </w:hyperlink>
          </w:p>
        </w:tc>
      </w:tr>
    </w:tbl>
    <w:p w14:paraId="6C4ADC8D" w14:textId="77777777" w:rsidR="0044676A" w:rsidRDefault="0044676A" w:rsidP="00797516"/>
    <w:p w14:paraId="0EFC0C15" w14:textId="77777777" w:rsidR="0044676A" w:rsidRDefault="0044676A" w:rsidP="00797516"/>
    <w:p w14:paraId="76682E35" w14:textId="77777777" w:rsidR="00791A52" w:rsidRPr="00B50FDE" w:rsidRDefault="00791A52" w:rsidP="00B50FDE">
      <w:pPr>
        <w:jc w:val="center"/>
        <w:rPr>
          <w:b/>
          <w:bCs/>
          <w:u w:val="single"/>
        </w:rPr>
      </w:pPr>
      <w:r w:rsidRPr="00B50FDE">
        <w:rPr>
          <w:b/>
          <w:bCs/>
          <w:u w:val="single"/>
        </w:rPr>
        <w:t>Prêts intermédiés – accessibles aux PME, ETI, grandes entreprises, administrations publiques et collectivités locales</w:t>
      </w:r>
    </w:p>
    <w:p w14:paraId="15C1AA62" w14:textId="77777777" w:rsidR="003F7450" w:rsidRDefault="003F7450" w:rsidP="003F7450">
      <w:pPr>
        <w:jc w:val="both"/>
        <w:rPr>
          <w:b/>
          <w:bCs/>
        </w:rPr>
      </w:pPr>
    </w:p>
    <w:tbl>
      <w:tblPr>
        <w:tblStyle w:val="Grilledutableau"/>
        <w:tblW w:w="9918" w:type="dxa"/>
        <w:tblLook w:val="04A0" w:firstRow="1" w:lastRow="0" w:firstColumn="1" w:lastColumn="0" w:noHBand="0" w:noVBand="1"/>
      </w:tblPr>
      <w:tblGrid>
        <w:gridCol w:w="3539"/>
        <w:gridCol w:w="3402"/>
        <w:gridCol w:w="2977"/>
      </w:tblGrid>
      <w:tr w:rsidR="003F7450" w:rsidRPr="005513A2" w14:paraId="698D4A36" w14:textId="77777777" w:rsidTr="00765F85">
        <w:tc>
          <w:tcPr>
            <w:tcW w:w="9918" w:type="dxa"/>
            <w:gridSpan w:val="3"/>
            <w:shd w:val="clear" w:color="auto" w:fill="5F497A" w:themeFill="accent4" w:themeFillShade="BF"/>
          </w:tcPr>
          <w:p w14:paraId="41B22048" w14:textId="77777777" w:rsidR="003F7450" w:rsidRPr="005513A2" w:rsidRDefault="003F7450" w:rsidP="00765F85">
            <w:pPr>
              <w:jc w:val="center"/>
              <w:rPr>
                <w:b/>
                <w:bCs/>
                <w:color w:val="FFFFFF" w:themeColor="background1"/>
              </w:rPr>
            </w:pPr>
            <w:r>
              <w:rPr>
                <w:b/>
                <w:bCs/>
                <w:color w:val="FFFFFF" w:themeColor="background1"/>
              </w:rPr>
              <w:t>Caractéristiques clefs</w:t>
            </w:r>
          </w:p>
        </w:tc>
      </w:tr>
      <w:tr w:rsidR="003F7450" w:rsidRPr="00AB15DE" w14:paraId="308A3E96" w14:textId="77777777" w:rsidTr="003D35DF">
        <w:tc>
          <w:tcPr>
            <w:tcW w:w="3539" w:type="dxa"/>
            <w:shd w:val="clear" w:color="auto" w:fill="B2A1C7" w:themeFill="accent4" w:themeFillTint="99"/>
          </w:tcPr>
          <w:p w14:paraId="6C64F492" w14:textId="77777777" w:rsidR="003F7450" w:rsidRDefault="003F7450" w:rsidP="00765F85">
            <w:pPr>
              <w:rPr>
                <w:b/>
                <w:bCs/>
                <w:sz w:val="24"/>
                <w:szCs w:val="24"/>
                <w:u w:val="single"/>
              </w:rPr>
            </w:pPr>
            <w:r w:rsidRPr="00AB15DE">
              <w:rPr>
                <w:b/>
                <w:bCs/>
              </w:rPr>
              <w:t>Principe général</w:t>
            </w:r>
          </w:p>
        </w:tc>
        <w:tc>
          <w:tcPr>
            <w:tcW w:w="3402" w:type="dxa"/>
            <w:shd w:val="clear" w:color="auto" w:fill="B2A1C7" w:themeFill="accent4" w:themeFillTint="99"/>
          </w:tcPr>
          <w:p w14:paraId="78078803" w14:textId="77777777" w:rsidR="003F7450" w:rsidRDefault="003F7450" w:rsidP="00765F85">
            <w:pPr>
              <w:rPr>
                <w:b/>
                <w:bCs/>
              </w:rPr>
            </w:pPr>
            <w:r>
              <w:rPr>
                <w:b/>
                <w:bCs/>
              </w:rPr>
              <w:t>Porteurs éligibles</w:t>
            </w:r>
          </w:p>
        </w:tc>
        <w:tc>
          <w:tcPr>
            <w:tcW w:w="2977" w:type="dxa"/>
            <w:shd w:val="clear" w:color="auto" w:fill="B2A1C7" w:themeFill="accent4" w:themeFillTint="99"/>
          </w:tcPr>
          <w:p w14:paraId="53F9C869" w14:textId="77777777" w:rsidR="003F7450" w:rsidRPr="00AB15DE" w:rsidRDefault="003F7450" w:rsidP="00765F85">
            <w:pPr>
              <w:rPr>
                <w:b/>
                <w:bCs/>
              </w:rPr>
            </w:pPr>
            <w:r>
              <w:rPr>
                <w:b/>
                <w:bCs/>
              </w:rPr>
              <w:t>Dispositions particulières</w:t>
            </w:r>
          </w:p>
        </w:tc>
      </w:tr>
      <w:tr w:rsidR="003F7450" w:rsidRPr="005D1468" w14:paraId="49586213" w14:textId="77777777" w:rsidTr="003D35DF">
        <w:tc>
          <w:tcPr>
            <w:tcW w:w="3539" w:type="dxa"/>
          </w:tcPr>
          <w:p w14:paraId="428FBD2F" w14:textId="77777777" w:rsidR="003F7450" w:rsidRPr="003F7450" w:rsidRDefault="003F7450" w:rsidP="003F7450">
            <w:pPr>
              <w:rPr>
                <w:sz w:val="20"/>
                <w:szCs w:val="20"/>
              </w:rPr>
            </w:pPr>
            <w:r w:rsidRPr="003F7450">
              <w:rPr>
                <w:sz w:val="20"/>
                <w:szCs w:val="20"/>
              </w:rPr>
              <w:t>Des prêts de la BEI de plus faibles montants sont également accessibles via les intermédiaires financiers de la BEI</w:t>
            </w:r>
            <w:r w:rsidR="00AE3A03">
              <w:rPr>
                <w:sz w:val="20"/>
                <w:szCs w:val="20"/>
              </w:rPr>
              <w:t xml:space="preserve">, qui sont des banques commerciales ou des banques publiques (comme la Caisse </w:t>
            </w:r>
            <w:r w:rsidR="00AE3A03">
              <w:rPr>
                <w:sz w:val="20"/>
                <w:szCs w:val="20"/>
              </w:rPr>
              <w:lastRenderedPageBreak/>
              <w:t>des dépôts) disposant d’accords avec la BEI.</w:t>
            </w:r>
          </w:p>
          <w:p w14:paraId="1F5992DC" w14:textId="77777777" w:rsidR="003F7450" w:rsidRPr="003F7450" w:rsidRDefault="003F7450" w:rsidP="003F7450">
            <w:pPr>
              <w:rPr>
                <w:sz w:val="20"/>
                <w:szCs w:val="20"/>
              </w:rPr>
            </w:pPr>
            <w:r w:rsidRPr="003F7450">
              <w:rPr>
                <w:sz w:val="20"/>
                <w:szCs w:val="20"/>
              </w:rPr>
              <w:t>Cela permet notamment de rendre l’appui financier de la BEI plus accessible aux PME et ETI (toutefois ces prêts ne sont pas réservés à ces entités).</w:t>
            </w:r>
          </w:p>
        </w:tc>
        <w:tc>
          <w:tcPr>
            <w:tcW w:w="3402" w:type="dxa"/>
          </w:tcPr>
          <w:p w14:paraId="19D006E7" w14:textId="12D18462" w:rsidR="00452D25" w:rsidRPr="00452D25" w:rsidRDefault="00452D25" w:rsidP="00566421">
            <w:pPr>
              <w:pStyle w:val="Paragraphedeliste"/>
              <w:numPr>
                <w:ilvl w:val="0"/>
                <w:numId w:val="20"/>
              </w:numPr>
              <w:rPr>
                <w:sz w:val="20"/>
                <w:szCs w:val="20"/>
              </w:rPr>
            </w:pPr>
            <w:r w:rsidRPr="00566421">
              <w:rPr>
                <w:sz w:val="20"/>
                <w:szCs w:val="20"/>
              </w:rPr>
              <w:lastRenderedPageBreak/>
              <w:t xml:space="preserve">Entreprises </w:t>
            </w:r>
            <w:r>
              <w:rPr>
                <w:sz w:val="20"/>
                <w:szCs w:val="20"/>
              </w:rPr>
              <w:t>à</w:t>
            </w:r>
            <w:r w:rsidRPr="00566421">
              <w:rPr>
                <w:sz w:val="20"/>
                <w:szCs w:val="20"/>
              </w:rPr>
              <w:t xml:space="preserve"> tous les stades de développement </w:t>
            </w:r>
            <w:r w:rsidRPr="00D764A5">
              <w:rPr>
                <w:sz w:val="20"/>
                <w:szCs w:val="20"/>
              </w:rPr>
              <w:t>:</w:t>
            </w:r>
            <w:r>
              <w:rPr>
                <w:sz w:val="20"/>
                <w:szCs w:val="20"/>
              </w:rPr>
              <w:t xml:space="preserve"> </w:t>
            </w:r>
            <w:r w:rsidR="003F7450" w:rsidRPr="00566421">
              <w:rPr>
                <w:sz w:val="20"/>
                <w:szCs w:val="20"/>
              </w:rPr>
              <w:t>Microentreprises</w:t>
            </w:r>
            <w:r w:rsidR="00950AA3" w:rsidRPr="00566421">
              <w:rPr>
                <w:sz w:val="20"/>
                <w:szCs w:val="20"/>
              </w:rPr>
              <w:t xml:space="preserve"> (0-9 employés)</w:t>
            </w:r>
            <w:r w:rsidR="003F7450" w:rsidRPr="00D764A5">
              <w:rPr>
                <w:sz w:val="20"/>
                <w:szCs w:val="20"/>
              </w:rPr>
              <w:t>, PME</w:t>
            </w:r>
            <w:r w:rsidR="00950AA3" w:rsidRPr="00452D25">
              <w:rPr>
                <w:sz w:val="20"/>
                <w:szCs w:val="20"/>
              </w:rPr>
              <w:t xml:space="preserve"> (10</w:t>
            </w:r>
            <w:r>
              <w:rPr>
                <w:sz w:val="20"/>
                <w:szCs w:val="20"/>
              </w:rPr>
              <w:t>-</w:t>
            </w:r>
            <w:r w:rsidR="00950AA3" w:rsidRPr="00566421">
              <w:rPr>
                <w:sz w:val="20"/>
                <w:szCs w:val="20"/>
              </w:rPr>
              <w:t>249 employés)</w:t>
            </w:r>
            <w:r w:rsidR="003F7450" w:rsidRPr="00566421">
              <w:rPr>
                <w:sz w:val="20"/>
                <w:szCs w:val="20"/>
              </w:rPr>
              <w:t xml:space="preserve"> et ETI</w:t>
            </w:r>
            <w:r w:rsidR="00950AA3" w:rsidRPr="00D764A5">
              <w:rPr>
                <w:sz w:val="20"/>
                <w:szCs w:val="20"/>
              </w:rPr>
              <w:t xml:space="preserve"> (250</w:t>
            </w:r>
            <w:r>
              <w:rPr>
                <w:sz w:val="20"/>
                <w:szCs w:val="20"/>
              </w:rPr>
              <w:t>-</w:t>
            </w:r>
            <w:r w:rsidR="00950AA3" w:rsidRPr="00566421">
              <w:rPr>
                <w:sz w:val="20"/>
                <w:szCs w:val="20"/>
              </w:rPr>
              <w:t>3000 employés)</w:t>
            </w:r>
          </w:p>
          <w:p w14:paraId="72A80862" w14:textId="77777777" w:rsidR="003F7450" w:rsidRPr="003F7450" w:rsidRDefault="003F7450" w:rsidP="00825859">
            <w:pPr>
              <w:pStyle w:val="Paragraphedeliste"/>
              <w:numPr>
                <w:ilvl w:val="0"/>
                <w:numId w:val="20"/>
              </w:numPr>
              <w:rPr>
                <w:sz w:val="20"/>
                <w:szCs w:val="20"/>
              </w:rPr>
            </w:pPr>
            <w:r w:rsidRPr="003F7450">
              <w:rPr>
                <w:sz w:val="20"/>
                <w:szCs w:val="20"/>
              </w:rPr>
              <w:t>Grandes entreprises</w:t>
            </w:r>
          </w:p>
          <w:p w14:paraId="33567E8E" w14:textId="77777777" w:rsidR="003F7450" w:rsidRPr="003F7450" w:rsidRDefault="003F7450" w:rsidP="00825859">
            <w:pPr>
              <w:pStyle w:val="Paragraphedeliste"/>
              <w:numPr>
                <w:ilvl w:val="0"/>
                <w:numId w:val="20"/>
              </w:numPr>
              <w:rPr>
                <w:sz w:val="20"/>
                <w:szCs w:val="20"/>
              </w:rPr>
            </w:pPr>
            <w:r w:rsidRPr="003F7450">
              <w:rPr>
                <w:sz w:val="20"/>
                <w:szCs w:val="20"/>
              </w:rPr>
              <w:lastRenderedPageBreak/>
              <w:t>Agences, administrations, institutions publiques et ministères nationaux</w:t>
            </w:r>
          </w:p>
          <w:p w14:paraId="1841D73E" w14:textId="77777777" w:rsidR="003F7450" w:rsidRPr="003F7450" w:rsidRDefault="003F7450" w:rsidP="00825859">
            <w:pPr>
              <w:pStyle w:val="Paragraphedeliste"/>
              <w:numPr>
                <w:ilvl w:val="0"/>
                <w:numId w:val="20"/>
              </w:numPr>
              <w:rPr>
                <w:sz w:val="20"/>
                <w:szCs w:val="20"/>
              </w:rPr>
            </w:pPr>
            <w:r w:rsidRPr="003F7450">
              <w:rPr>
                <w:sz w:val="20"/>
                <w:szCs w:val="20"/>
              </w:rPr>
              <w:t>Collectivités locales et régionales</w:t>
            </w:r>
          </w:p>
        </w:tc>
        <w:tc>
          <w:tcPr>
            <w:tcW w:w="2977" w:type="dxa"/>
          </w:tcPr>
          <w:p w14:paraId="30EB2E35" w14:textId="77777777" w:rsidR="00776098" w:rsidRPr="003F7450" w:rsidRDefault="003F7450" w:rsidP="003F7450">
            <w:pPr>
              <w:rPr>
                <w:sz w:val="20"/>
                <w:szCs w:val="20"/>
              </w:rPr>
            </w:pPr>
            <w:r w:rsidRPr="003F7450">
              <w:rPr>
                <w:sz w:val="20"/>
                <w:szCs w:val="20"/>
              </w:rPr>
              <w:lastRenderedPageBreak/>
              <w:t xml:space="preserve">Ces prêts financent notamment des </w:t>
            </w:r>
            <w:r w:rsidRPr="003F7450">
              <w:rPr>
                <w:b/>
                <w:bCs/>
                <w:sz w:val="20"/>
                <w:szCs w:val="20"/>
              </w:rPr>
              <w:t>petits investissements</w:t>
            </w:r>
            <w:r w:rsidRPr="003F7450">
              <w:rPr>
                <w:sz w:val="20"/>
                <w:szCs w:val="20"/>
              </w:rPr>
              <w:t xml:space="preserve"> de PME et ETI (actifs corporels et incorporels, l’acquisition ou la rénovation d’installations, le fonds de roulement, etc.) et de </w:t>
            </w:r>
            <w:r w:rsidRPr="003F7450">
              <w:rPr>
                <w:sz w:val="20"/>
                <w:szCs w:val="20"/>
              </w:rPr>
              <w:lastRenderedPageBreak/>
              <w:t>collectivités locales, entités du secteur public ou promoteurs privés pour des projets en lien avec les priorités de la BEI.</w:t>
            </w:r>
          </w:p>
        </w:tc>
      </w:tr>
    </w:tbl>
    <w:p w14:paraId="5EB73CEE" w14:textId="77777777" w:rsidR="003F7450" w:rsidRPr="003F7450" w:rsidRDefault="003F7450" w:rsidP="003F7450">
      <w:pPr>
        <w:jc w:val="both"/>
        <w:rPr>
          <w:b/>
          <w:bCs/>
        </w:rPr>
      </w:pPr>
    </w:p>
    <w:p w14:paraId="36A961FC" w14:textId="77777777" w:rsidR="00B33BB6" w:rsidRDefault="00B33BB6" w:rsidP="00825859">
      <w:pPr>
        <w:pStyle w:val="Paragraphedeliste"/>
        <w:numPr>
          <w:ilvl w:val="0"/>
          <w:numId w:val="11"/>
        </w:numPr>
        <w:jc w:val="both"/>
      </w:pPr>
      <w:r>
        <w:t xml:space="preserve">Pour plus d’informations sur ces dispositifs, </w:t>
      </w:r>
      <w:r w:rsidR="001C24C7">
        <w:t>contactez les</w:t>
      </w:r>
      <w:r w:rsidRPr="00147945">
        <w:rPr>
          <w:b/>
          <w:bCs/>
        </w:rPr>
        <w:t xml:space="preserve"> intermédiaires financiers</w:t>
      </w:r>
      <w:r>
        <w:t xml:space="preserve"> de la BEI en </w:t>
      </w:r>
      <w:hyperlink r:id="rId31" w:history="1">
        <w:r w:rsidRPr="00B33BB6">
          <w:rPr>
            <w:rStyle w:val="Lienhypertexte"/>
          </w:rPr>
          <w:t>France</w:t>
        </w:r>
      </w:hyperlink>
      <w:r>
        <w:t xml:space="preserve"> et en </w:t>
      </w:r>
      <w:hyperlink r:id="rId32" w:history="1">
        <w:r w:rsidRPr="00B33BB6">
          <w:rPr>
            <w:rStyle w:val="Lienhypertexte"/>
          </w:rPr>
          <w:t>Europe</w:t>
        </w:r>
      </w:hyperlink>
      <w:r>
        <w:t>.</w:t>
      </w:r>
    </w:p>
    <w:p w14:paraId="1B20CD20" w14:textId="77777777" w:rsidR="00C30F68" w:rsidRDefault="00C30F68" w:rsidP="00C45C1F">
      <w:pPr>
        <w:jc w:val="both"/>
      </w:pPr>
    </w:p>
    <w:p w14:paraId="546A1087" w14:textId="77777777" w:rsidR="0074232F" w:rsidRDefault="0074232F" w:rsidP="00C45C1F">
      <w:pPr>
        <w:jc w:val="both"/>
      </w:pPr>
    </w:p>
    <w:p w14:paraId="0408E4F6" w14:textId="77777777" w:rsidR="00C30F68" w:rsidRDefault="00371200" w:rsidP="00B50FDE">
      <w:pPr>
        <w:jc w:val="center"/>
        <w:rPr>
          <w:b/>
          <w:bCs/>
          <w:u w:val="single"/>
        </w:rPr>
      </w:pPr>
      <w:r w:rsidRPr="00B50FDE">
        <w:rPr>
          <w:b/>
          <w:bCs/>
          <w:u w:val="single"/>
        </w:rPr>
        <w:t xml:space="preserve">Pour les PME – les dispositifs proposés par le </w:t>
      </w:r>
      <w:proofErr w:type="spellStart"/>
      <w:r w:rsidRPr="00EC0B0D">
        <w:rPr>
          <w:b/>
          <w:bCs/>
          <w:i/>
          <w:iCs/>
          <w:u w:val="single"/>
        </w:rPr>
        <w:t>European</w:t>
      </w:r>
      <w:proofErr w:type="spellEnd"/>
      <w:r w:rsidRPr="00EC0B0D">
        <w:rPr>
          <w:b/>
          <w:bCs/>
          <w:i/>
          <w:iCs/>
          <w:u w:val="single"/>
        </w:rPr>
        <w:t xml:space="preserve"> </w:t>
      </w:r>
      <w:proofErr w:type="spellStart"/>
      <w:r w:rsidRPr="00EC0B0D">
        <w:rPr>
          <w:b/>
          <w:bCs/>
          <w:i/>
          <w:iCs/>
          <w:u w:val="single"/>
        </w:rPr>
        <w:t>Investiment</w:t>
      </w:r>
      <w:proofErr w:type="spellEnd"/>
      <w:r w:rsidRPr="00EC0B0D">
        <w:rPr>
          <w:b/>
          <w:bCs/>
          <w:i/>
          <w:iCs/>
          <w:u w:val="single"/>
        </w:rPr>
        <w:t xml:space="preserve"> </w:t>
      </w:r>
      <w:proofErr w:type="spellStart"/>
      <w:r w:rsidRPr="00EC0B0D">
        <w:rPr>
          <w:b/>
          <w:bCs/>
          <w:i/>
          <w:iCs/>
          <w:u w:val="single"/>
        </w:rPr>
        <w:t>Fund</w:t>
      </w:r>
      <w:proofErr w:type="spellEnd"/>
      <w:r w:rsidRPr="00B50FDE">
        <w:rPr>
          <w:b/>
          <w:bCs/>
          <w:u w:val="single"/>
        </w:rPr>
        <w:t xml:space="preserve"> (EIF)</w:t>
      </w:r>
    </w:p>
    <w:p w14:paraId="644463A4" w14:textId="77777777" w:rsidR="007D28E5" w:rsidRPr="00B50FDE" w:rsidRDefault="007D28E5" w:rsidP="00B50FDE">
      <w:pPr>
        <w:jc w:val="center"/>
        <w:rPr>
          <w:b/>
          <w:bCs/>
          <w:u w:val="single"/>
        </w:rPr>
      </w:pPr>
    </w:p>
    <w:p w14:paraId="2EAF8636" w14:textId="77777777" w:rsidR="00371200" w:rsidRDefault="00371200" w:rsidP="00825859">
      <w:pPr>
        <w:pStyle w:val="Paragraphedeliste"/>
        <w:numPr>
          <w:ilvl w:val="0"/>
          <w:numId w:val="11"/>
        </w:numPr>
        <w:jc w:val="both"/>
      </w:pPr>
      <w:r>
        <w:t>Entité du groupe BEI, l’</w:t>
      </w:r>
      <w:hyperlink r:id="rId33" w:history="1">
        <w:r w:rsidRPr="00371200">
          <w:rPr>
            <w:rStyle w:val="Lienhypertexte"/>
          </w:rPr>
          <w:t>EIF</w:t>
        </w:r>
      </w:hyperlink>
      <w:r>
        <w:t xml:space="preserve"> est spécialisé dans le financement des risques au profit des PME.</w:t>
      </w:r>
    </w:p>
    <w:p w14:paraId="1EBC9438" w14:textId="77777777" w:rsidR="00371200" w:rsidRDefault="00371200" w:rsidP="00825859">
      <w:pPr>
        <w:pStyle w:val="Paragraphedeliste"/>
        <w:numPr>
          <w:ilvl w:val="0"/>
          <w:numId w:val="11"/>
        </w:numPr>
        <w:jc w:val="both"/>
      </w:pPr>
      <w:r>
        <w:t>Pour cela l’EIF propose :</w:t>
      </w:r>
    </w:p>
    <w:p w14:paraId="438EF093" w14:textId="77777777" w:rsidR="00371200" w:rsidRDefault="00371200" w:rsidP="00825859">
      <w:pPr>
        <w:pStyle w:val="Paragraphedeliste"/>
        <w:numPr>
          <w:ilvl w:val="1"/>
          <w:numId w:val="11"/>
        </w:numPr>
        <w:jc w:val="both"/>
      </w:pPr>
      <w:r>
        <w:t xml:space="preserve">Des </w:t>
      </w:r>
      <w:hyperlink r:id="rId34" w:history="1">
        <w:r w:rsidRPr="00371200">
          <w:rPr>
            <w:rStyle w:val="Lienhypertexte"/>
          </w:rPr>
          <w:t>apports en capitaux propres</w:t>
        </w:r>
      </w:hyperlink>
      <w:r>
        <w:t xml:space="preserve"> via des </w:t>
      </w:r>
      <w:hyperlink r:id="rId35" w:history="1">
        <w:r w:rsidRPr="00371200">
          <w:rPr>
            <w:rStyle w:val="Lienhypertexte"/>
          </w:rPr>
          <w:t>fonds de capital-investissement et de capital-risque</w:t>
        </w:r>
      </w:hyperlink>
    </w:p>
    <w:p w14:paraId="5DB01523" w14:textId="77777777" w:rsidR="00371200" w:rsidRDefault="00371200" w:rsidP="00825859">
      <w:pPr>
        <w:pStyle w:val="Paragraphedeliste"/>
        <w:numPr>
          <w:ilvl w:val="1"/>
          <w:numId w:val="11"/>
        </w:numPr>
        <w:jc w:val="both"/>
      </w:pPr>
      <w:r>
        <w:t xml:space="preserve">Des </w:t>
      </w:r>
      <w:hyperlink r:id="rId36" w:history="1">
        <w:r w:rsidRPr="00371200">
          <w:rPr>
            <w:rStyle w:val="Lienhypertexte"/>
          </w:rPr>
          <w:t>prêts et garanties</w:t>
        </w:r>
      </w:hyperlink>
      <w:r>
        <w:t xml:space="preserve">, via des intermédiaires financiers en </w:t>
      </w:r>
      <w:hyperlink r:id="rId37" w:history="1">
        <w:r w:rsidRPr="00371200">
          <w:rPr>
            <w:rStyle w:val="Lienhypertexte"/>
          </w:rPr>
          <w:t>Europe</w:t>
        </w:r>
      </w:hyperlink>
      <w:r>
        <w:t xml:space="preserve"> et en </w:t>
      </w:r>
      <w:hyperlink r:id="rId38" w:history="1">
        <w:r w:rsidRPr="00371200">
          <w:rPr>
            <w:rStyle w:val="Lienhypertexte"/>
          </w:rPr>
          <w:t>France</w:t>
        </w:r>
      </w:hyperlink>
    </w:p>
    <w:p w14:paraId="4727C278" w14:textId="77777777" w:rsidR="00273F09" w:rsidRDefault="00273F09" w:rsidP="00C45C1F">
      <w:pPr>
        <w:jc w:val="both"/>
      </w:pPr>
    </w:p>
    <w:p w14:paraId="5B5C5EDE" w14:textId="77777777" w:rsidR="00F23177" w:rsidRDefault="00F23177">
      <w:pPr>
        <w:rPr>
          <w:b/>
          <w:bCs/>
          <w:i/>
          <w:iCs/>
          <w:color w:val="8064A2" w:themeColor="accent4"/>
          <w:sz w:val="24"/>
          <w:szCs w:val="24"/>
        </w:rPr>
      </w:pPr>
    </w:p>
    <w:p w14:paraId="01B04C5C" w14:textId="77777777" w:rsidR="007D7FE6" w:rsidRPr="003C7AC8" w:rsidRDefault="007D7FE6" w:rsidP="00C45C1F">
      <w:pPr>
        <w:pStyle w:val="Style1"/>
      </w:pPr>
      <w:r>
        <w:t>Dispositifs d’appui thématiques</w:t>
      </w:r>
    </w:p>
    <w:p w14:paraId="636E1380" w14:textId="77777777" w:rsidR="007D7FE6" w:rsidRDefault="007D7FE6" w:rsidP="00C45C1F">
      <w:pPr>
        <w:jc w:val="both"/>
        <w:rPr>
          <w:b/>
          <w:bCs/>
          <w:sz w:val="24"/>
          <w:szCs w:val="24"/>
          <w:u w:val="single"/>
        </w:rPr>
      </w:pPr>
    </w:p>
    <w:p w14:paraId="10EF0A8B" w14:textId="77777777" w:rsidR="007D7FE6" w:rsidRPr="004F2DF1" w:rsidRDefault="007D7FE6" w:rsidP="004F2DF1">
      <w:pPr>
        <w:jc w:val="center"/>
        <w:rPr>
          <w:sz w:val="20"/>
          <w:szCs w:val="20"/>
          <w:lang w:val="en-US"/>
        </w:rPr>
      </w:pPr>
      <w:r w:rsidRPr="004F2DF1">
        <w:rPr>
          <w:b/>
          <w:bCs/>
          <w:i/>
          <w:iCs/>
          <w:u w:val="single"/>
          <w:lang w:val="en-US"/>
        </w:rPr>
        <w:t>European Circular Bioeconomy Fund</w:t>
      </w:r>
      <w:r w:rsidRPr="004F2DF1">
        <w:rPr>
          <w:b/>
          <w:bCs/>
          <w:u w:val="single"/>
          <w:lang w:val="en-US"/>
        </w:rPr>
        <w:t xml:space="preserve"> (ECBF)</w:t>
      </w:r>
    </w:p>
    <w:p w14:paraId="3D743656" w14:textId="77777777" w:rsidR="004F2DF1" w:rsidRPr="00921481" w:rsidRDefault="004F2DF1" w:rsidP="00D16EEF">
      <w:pPr>
        <w:jc w:val="both"/>
        <w:rPr>
          <w:lang w:val="en-US"/>
        </w:rPr>
      </w:pPr>
    </w:p>
    <w:tbl>
      <w:tblPr>
        <w:tblStyle w:val="Grilledutableau"/>
        <w:tblW w:w="9918" w:type="dxa"/>
        <w:tblLook w:val="04A0" w:firstRow="1" w:lastRow="0" w:firstColumn="1" w:lastColumn="0" w:noHBand="0" w:noVBand="1"/>
      </w:tblPr>
      <w:tblGrid>
        <w:gridCol w:w="3114"/>
        <w:gridCol w:w="2693"/>
        <w:gridCol w:w="4111"/>
      </w:tblGrid>
      <w:tr w:rsidR="00D16EEF" w:rsidRPr="005513A2" w14:paraId="1A2F9657" w14:textId="77777777" w:rsidTr="00765F85">
        <w:tc>
          <w:tcPr>
            <w:tcW w:w="9918" w:type="dxa"/>
            <w:gridSpan w:val="3"/>
            <w:shd w:val="clear" w:color="auto" w:fill="5F497A" w:themeFill="accent4" w:themeFillShade="BF"/>
          </w:tcPr>
          <w:p w14:paraId="2E5551CB" w14:textId="77777777" w:rsidR="00D16EEF" w:rsidRPr="005513A2" w:rsidRDefault="00D16EEF" w:rsidP="00765F85">
            <w:pPr>
              <w:jc w:val="center"/>
              <w:rPr>
                <w:b/>
                <w:bCs/>
                <w:color w:val="FFFFFF" w:themeColor="background1"/>
              </w:rPr>
            </w:pPr>
            <w:r>
              <w:rPr>
                <w:b/>
                <w:bCs/>
                <w:color w:val="FFFFFF" w:themeColor="background1"/>
              </w:rPr>
              <w:t>Caractéristiques clefs</w:t>
            </w:r>
          </w:p>
        </w:tc>
      </w:tr>
      <w:tr w:rsidR="00D16EEF" w:rsidRPr="00AB15DE" w14:paraId="1D024B0D" w14:textId="77777777" w:rsidTr="00765F85">
        <w:tc>
          <w:tcPr>
            <w:tcW w:w="3114" w:type="dxa"/>
            <w:shd w:val="clear" w:color="auto" w:fill="B2A1C7" w:themeFill="accent4" w:themeFillTint="99"/>
          </w:tcPr>
          <w:p w14:paraId="2EA746EC" w14:textId="77777777" w:rsidR="00D16EEF" w:rsidRDefault="00D16EEF" w:rsidP="00765F85">
            <w:pPr>
              <w:rPr>
                <w:b/>
                <w:bCs/>
                <w:sz w:val="24"/>
                <w:szCs w:val="24"/>
                <w:u w:val="single"/>
              </w:rPr>
            </w:pPr>
            <w:r w:rsidRPr="00AB15DE">
              <w:rPr>
                <w:b/>
                <w:bCs/>
              </w:rPr>
              <w:t>Principe général</w:t>
            </w:r>
          </w:p>
        </w:tc>
        <w:tc>
          <w:tcPr>
            <w:tcW w:w="2693" w:type="dxa"/>
            <w:shd w:val="clear" w:color="auto" w:fill="B2A1C7" w:themeFill="accent4" w:themeFillTint="99"/>
          </w:tcPr>
          <w:p w14:paraId="625891DE" w14:textId="77777777" w:rsidR="00D16EEF" w:rsidRDefault="00D16EEF" w:rsidP="00765F85">
            <w:pPr>
              <w:rPr>
                <w:b/>
                <w:bCs/>
              </w:rPr>
            </w:pPr>
            <w:r>
              <w:rPr>
                <w:b/>
                <w:bCs/>
              </w:rPr>
              <w:t>Secteurs visés</w:t>
            </w:r>
          </w:p>
        </w:tc>
        <w:tc>
          <w:tcPr>
            <w:tcW w:w="4111" w:type="dxa"/>
            <w:shd w:val="clear" w:color="auto" w:fill="B2A1C7" w:themeFill="accent4" w:themeFillTint="99"/>
          </w:tcPr>
          <w:p w14:paraId="7AE0CC15" w14:textId="77777777" w:rsidR="00D16EEF" w:rsidRPr="00AB15DE" w:rsidRDefault="00D16EEF" w:rsidP="00765F85">
            <w:pPr>
              <w:rPr>
                <w:b/>
                <w:bCs/>
              </w:rPr>
            </w:pPr>
            <w:r>
              <w:rPr>
                <w:b/>
                <w:bCs/>
              </w:rPr>
              <w:t>Dispositions particulières</w:t>
            </w:r>
          </w:p>
        </w:tc>
      </w:tr>
      <w:tr w:rsidR="00D16EEF" w:rsidRPr="003F7450" w14:paraId="6516FA8A" w14:textId="77777777" w:rsidTr="00765F85">
        <w:tc>
          <w:tcPr>
            <w:tcW w:w="3114" w:type="dxa"/>
          </w:tcPr>
          <w:p w14:paraId="7C05EA4A" w14:textId="77777777" w:rsidR="00D16EEF" w:rsidRPr="00D16EEF" w:rsidRDefault="00D16EEF" w:rsidP="00D16EEF">
            <w:pPr>
              <w:jc w:val="both"/>
              <w:rPr>
                <w:sz w:val="20"/>
                <w:szCs w:val="20"/>
              </w:rPr>
            </w:pPr>
            <w:r w:rsidRPr="00D16EEF">
              <w:rPr>
                <w:sz w:val="20"/>
                <w:szCs w:val="20"/>
              </w:rPr>
              <w:t>Fonds de capital-risque dédié à la bioéconomie et à la bioéconomie circulaire en Europe.</w:t>
            </w:r>
          </w:p>
          <w:p w14:paraId="09FA1E69" w14:textId="77777777" w:rsidR="00D16EEF" w:rsidRPr="00D16EEF" w:rsidRDefault="00D16EEF" w:rsidP="00D16EEF">
            <w:pPr>
              <w:jc w:val="both"/>
              <w:rPr>
                <w:sz w:val="20"/>
                <w:szCs w:val="20"/>
              </w:rPr>
            </w:pPr>
          </w:p>
          <w:p w14:paraId="5B6D49A1" w14:textId="77777777" w:rsidR="00D16EEF" w:rsidRPr="00D16EEF" w:rsidRDefault="00D16EEF" w:rsidP="00D16EEF">
            <w:pPr>
              <w:jc w:val="both"/>
              <w:rPr>
                <w:sz w:val="20"/>
                <w:szCs w:val="20"/>
              </w:rPr>
            </w:pPr>
            <w:r w:rsidRPr="00D16EEF">
              <w:rPr>
                <w:sz w:val="20"/>
                <w:szCs w:val="20"/>
              </w:rPr>
              <w:t xml:space="preserve">Le volume-cible du fonds est de 250M€ dont 100M€ engagés par la BEI. Les fondateurs et gestionnaires du fonds sont l’Union européenne, la BEI et </w:t>
            </w:r>
            <w:r w:rsidR="000255AB">
              <w:rPr>
                <w:sz w:val="20"/>
                <w:szCs w:val="20"/>
              </w:rPr>
              <w:t>la</w:t>
            </w:r>
            <w:r w:rsidRPr="00D16EEF">
              <w:rPr>
                <w:sz w:val="20"/>
                <w:szCs w:val="20"/>
              </w:rPr>
              <w:t xml:space="preserve"> banque privée </w:t>
            </w:r>
            <w:proofErr w:type="spellStart"/>
            <w:r w:rsidRPr="00D16EEF">
              <w:rPr>
                <w:sz w:val="20"/>
                <w:szCs w:val="20"/>
              </w:rPr>
              <w:t>Hauck</w:t>
            </w:r>
            <w:proofErr w:type="spellEnd"/>
            <w:r w:rsidRPr="00D16EEF">
              <w:rPr>
                <w:sz w:val="20"/>
                <w:szCs w:val="20"/>
              </w:rPr>
              <w:t xml:space="preserve"> &amp; </w:t>
            </w:r>
            <w:proofErr w:type="spellStart"/>
            <w:r w:rsidRPr="00D16EEF">
              <w:rPr>
                <w:sz w:val="20"/>
                <w:szCs w:val="20"/>
              </w:rPr>
              <w:t>Aufhäuser</w:t>
            </w:r>
            <w:proofErr w:type="spellEnd"/>
            <w:r w:rsidRPr="00D16EEF">
              <w:rPr>
                <w:sz w:val="20"/>
                <w:szCs w:val="20"/>
              </w:rPr>
              <w:t>.</w:t>
            </w:r>
          </w:p>
        </w:tc>
        <w:tc>
          <w:tcPr>
            <w:tcW w:w="2693" w:type="dxa"/>
          </w:tcPr>
          <w:p w14:paraId="0AAE9B21" w14:textId="77777777" w:rsidR="00D16EEF" w:rsidRPr="00D16EEF" w:rsidRDefault="00D16EEF" w:rsidP="00825859">
            <w:pPr>
              <w:pStyle w:val="Paragraphedeliste"/>
              <w:numPr>
                <w:ilvl w:val="0"/>
                <w:numId w:val="21"/>
              </w:numPr>
              <w:jc w:val="both"/>
              <w:rPr>
                <w:sz w:val="20"/>
                <w:szCs w:val="20"/>
              </w:rPr>
            </w:pPr>
            <w:r w:rsidRPr="00D16EEF">
              <w:rPr>
                <w:sz w:val="20"/>
                <w:szCs w:val="20"/>
              </w:rPr>
              <w:t>L’économie bleue et la pêche</w:t>
            </w:r>
          </w:p>
          <w:p w14:paraId="6781FB35" w14:textId="77777777" w:rsidR="00D16EEF" w:rsidRPr="00D16EEF" w:rsidRDefault="00D16EEF" w:rsidP="00825859">
            <w:pPr>
              <w:pStyle w:val="Paragraphedeliste"/>
              <w:numPr>
                <w:ilvl w:val="0"/>
                <w:numId w:val="21"/>
              </w:numPr>
              <w:jc w:val="both"/>
              <w:rPr>
                <w:sz w:val="20"/>
                <w:szCs w:val="20"/>
              </w:rPr>
            </w:pPr>
            <w:r w:rsidRPr="00D16EEF">
              <w:rPr>
                <w:sz w:val="20"/>
                <w:szCs w:val="20"/>
              </w:rPr>
              <w:t>L’agriculture et la sylviculture</w:t>
            </w:r>
          </w:p>
          <w:p w14:paraId="008EFF44" w14:textId="77777777" w:rsidR="00D16EEF" w:rsidRPr="00D16EEF" w:rsidRDefault="00D16EEF" w:rsidP="00825859">
            <w:pPr>
              <w:pStyle w:val="Paragraphedeliste"/>
              <w:numPr>
                <w:ilvl w:val="0"/>
                <w:numId w:val="21"/>
              </w:numPr>
              <w:jc w:val="both"/>
              <w:rPr>
                <w:sz w:val="20"/>
                <w:szCs w:val="20"/>
              </w:rPr>
            </w:pPr>
            <w:r w:rsidRPr="00D16EEF">
              <w:rPr>
                <w:sz w:val="20"/>
                <w:szCs w:val="20"/>
              </w:rPr>
              <w:t>L’alimentation</w:t>
            </w:r>
          </w:p>
          <w:p w14:paraId="08E39379" w14:textId="77777777" w:rsidR="00D16EEF" w:rsidRPr="00D16EEF" w:rsidRDefault="00D16EEF" w:rsidP="00825859">
            <w:pPr>
              <w:pStyle w:val="Paragraphedeliste"/>
              <w:numPr>
                <w:ilvl w:val="0"/>
                <w:numId w:val="21"/>
              </w:numPr>
              <w:jc w:val="both"/>
              <w:rPr>
                <w:sz w:val="20"/>
                <w:szCs w:val="20"/>
              </w:rPr>
            </w:pPr>
            <w:r w:rsidRPr="00D16EEF">
              <w:rPr>
                <w:sz w:val="20"/>
                <w:szCs w:val="20"/>
              </w:rPr>
              <w:t>Matériaux de base et produits chimiques</w:t>
            </w:r>
          </w:p>
          <w:p w14:paraId="1D9D2C2D" w14:textId="77777777" w:rsidR="00D16EEF" w:rsidRPr="00D16EEF" w:rsidRDefault="00D16EEF" w:rsidP="00825859">
            <w:pPr>
              <w:pStyle w:val="Paragraphedeliste"/>
              <w:numPr>
                <w:ilvl w:val="0"/>
                <w:numId w:val="21"/>
              </w:numPr>
              <w:jc w:val="both"/>
              <w:rPr>
                <w:sz w:val="20"/>
                <w:szCs w:val="20"/>
              </w:rPr>
            </w:pPr>
            <w:r w:rsidRPr="00D16EEF">
              <w:rPr>
                <w:sz w:val="20"/>
                <w:szCs w:val="20"/>
              </w:rPr>
              <w:t>Le secteur des emballages</w:t>
            </w:r>
          </w:p>
          <w:p w14:paraId="31B48790" w14:textId="77777777" w:rsidR="00D16EEF" w:rsidRPr="00D16EEF" w:rsidRDefault="00D16EEF" w:rsidP="00825859">
            <w:pPr>
              <w:pStyle w:val="Paragraphedeliste"/>
              <w:numPr>
                <w:ilvl w:val="0"/>
                <w:numId w:val="21"/>
              </w:numPr>
              <w:rPr>
                <w:sz w:val="20"/>
                <w:szCs w:val="20"/>
              </w:rPr>
            </w:pPr>
            <w:r w:rsidRPr="00D16EEF">
              <w:rPr>
                <w:sz w:val="20"/>
                <w:szCs w:val="20"/>
              </w:rPr>
              <w:t>Soins personnels et à domicile</w:t>
            </w:r>
          </w:p>
        </w:tc>
        <w:tc>
          <w:tcPr>
            <w:tcW w:w="4111" w:type="dxa"/>
          </w:tcPr>
          <w:p w14:paraId="75C16CE6" w14:textId="77777777" w:rsidR="00D16EEF" w:rsidRDefault="00D16EEF" w:rsidP="00D16EEF">
            <w:pPr>
              <w:pStyle w:val="Paragraphedeliste"/>
              <w:ind w:left="0"/>
              <w:jc w:val="both"/>
              <w:rPr>
                <w:sz w:val="20"/>
                <w:szCs w:val="20"/>
              </w:rPr>
            </w:pPr>
            <w:r w:rsidRPr="00D16EEF">
              <w:rPr>
                <w:sz w:val="20"/>
                <w:szCs w:val="20"/>
              </w:rPr>
              <w:t xml:space="preserve">Le fonds vise la </w:t>
            </w:r>
            <w:r w:rsidRPr="00D16EEF">
              <w:rPr>
                <w:b/>
                <w:bCs/>
                <w:sz w:val="20"/>
                <w:szCs w:val="20"/>
              </w:rPr>
              <w:t>mise à l’échelle d’entreprise innovantes</w:t>
            </w:r>
            <w:r w:rsidRPr="00D16EEF">
              <w:rPr>
                <w:sz w:val="20"/>
                <w:szCs w:val="20"/>
              </w:rPr>
              <w:t xml:space="preserve"> du secteur de la bioéconomie à un stade avancé (phases de démonstration ou commerciales).</w:t>
            </w:r>
          </w:p>
          <w:p w14:paraId="187BA3FD" w14:textId="77777777" w:rsidR="00D16EEF" w:rsidRPr="00D16EEF" w:rsidRDefault="00D16EEF" w:rsidP="00D16EEF">
            <w:pPr>
              <w:pStyle w:val="Paragraphedeliste"/>
              <w:ind w:left="0"/>
              <w:jc w:val="both"/>
              <w:rPr>
                <w:sz w:val="20"/>
                <w:szCs w:val="20"/>
              </w:rPr>
            </w:pPr>
            <w:r w:rsidRPr="00D16EEF">
              <w:rPr>
                <w:sz w:val="20"/>
                <w:szCs w:val="20"/>
              </w:rPr>
              <w:t xml:space="preserve">L’ECBF cherche ainsi à investir dans des entreprises ou des projets dont le degré de </w:t>
            </w:r>
            <w:r w:rsidRPr="00D16EEF">
              <w:rPr>
                <w:b/>
                <w:bCs/>
                <w:sz w:val="20"/>
                <w:szCs w:val="20"/>
              </w:rPr>
              <w:t>TRL</w:t>
            </w:r>
            <w:r w:rsidRPr="00D16EEF">
              <w:rPr>
                <w:rStyle w:val="Appelnotedebasdep"/>
                <w:b/>
                <w:bCs/>
                <w:sz w:val="20"/>
                <w:szCs w:val="20"/>
              </w:rPr>
              <w:footnoteReference w:id="4"/>
            </w:r>
            <w:r w:rsidRPr="00D16EEF">
              <w:rPr>
                <w:b/>
                <w:bCs/>
                <w:sz w:val="20"/>
                <w:szCs w:val="20"/>
              </w:rPr>
              <w:t xml:space="preserve"> sera de 6 à 9</w:t>
            </w:r>
            <w:r w:rsidRPr="00D16EEF">
              <w:rPr>
                <w:sz w:val="20"/>
                <w:szCs w:val="20"/>
              </w:rPr>
              <w:t xml:space="preserve"> et présentant déjà un attrait commercial significatif.</w:t>
            </w:r>
          </w:p>
          <w:p w14:paraId="5A4ED67C" w14:textId="77777777" w:rsidR="00D16EEF" w:rsidRPr="00D16EEF" w:rsidRDefault="00D16EEF" w:rsidP="00D16EEF">
            <w:pPr>
              <w:jc w:val="both"/>
              <w:rPr>
                <w:sz w:val="20"/>
                <w:szCs w:val="20"/>
              </w:rPr>
            </w:pPr>
            <w:r w:rsidRPr="00D16EEF">
              <w:rPr>
                <w:sz w:val="20"/>
                <w:szCs w:val="20"/>
              </w:rPr>
              <w:t xml:space="preserve">Le volume d’investissement par entreprise va de </w:t>
            </w:r>
            <w:r w:rsidRPr="00D16EEF">
              <w:rPr>
                <w:b/>
                <w:bCs/>
                <w:sz w:val="20"/>
                <w:szCs w:val="20"/>
              </w:rPr>
              <w:t>2,5M€ à 10M€.</w:t>
            </w:r>
          </w:p>
          <w:p w14:paraId="1D872805" w14:textId="77777777" w:rsidR="00D16EEF" w:rsidRPr="00D16EEF" w:rsidRDefault="00D16EEF" w:rsidP="00765F85">
            <w:pPr>
              <w:rPr>
                <w:sz w:val="20"/>
                <w:szCs w:val="20"/>
              </w:rPr>
            </w:pPr>
          </w:p>
        </w:tc>
      </w:tr>
    </w:tbl>
    <w:p w14:paraId="3D967F36" w14:textId="77777777" w:rsidR="00D16EEF" w:rsidRDefault="00D16EEF" w:rsidP="00D16EEF">
      <w:pPr>
        <w:jc w:val="both"/>
      </w:pPr>
    </w:p>
    <w:p w14:paraId="519B16DA" w14:textId="354016E4" w:rsidR="00C45C1F" w:rsidRDefault="00C45C1F" w:rsidP="00825859">
      <w:pPr>
        <w:pStyle w:val="Paragraphedeliste"/>
        <w:numPr>
          <w:ilvl w:val="0"/>
          <w:numId w:val="13"/>
        </w:numPr>
        <w:jc w:val="both"/>
      </w:pPr>
      <w:r>
        <w:t xml:space="preserve">Les entreprises financées doivent </w:t>
      </w:r>
      <w:r>
        <w:rPr>
          <w:b/>
          <w:bCs/>
        </w:rPr>
        <w:t>se situer dans l’Union européenne</w:t>
      </w:r>
      <w:r>
        <w:t xml:space="preserve"> ou dans l’un des </w:t>
      </w:r>
      <w:hyperlink r:id="rId39" w:history="1">
        <w:r w:rsidRPr="005B2BBF">
          <w:rPr>
            <w:rStyle w:val="Lienhypertexte"/>
          </w:rPr>
          <w:t xml:space="preserve">pays associés au programme Horizon </w:t>
        </w:r>
        <w:r w:rsidR="005B2BBF" w:rsidRPr="005B2BBF">
          <w:rPr>
            <w:rStyle w:val="Lienhypertexte"/>
          </w:rPr>
          <w:t>2020</w:t>
        </w:r>
      </w:hyperlink>
      <w:r w:rsidR="001377C2">
        <w:rPr>
          <w:rStyle w:val="Appelnotedebasdep"/>
          <w:color w:val="0000FF" w:themeColor="hyperlink"/>
          <w:u w:val="single"/>
        </w:rPr>
        <w:footnoteReference w:id="5"/>
      </w:r>
      <w:r>
        <w:t>.</w:t>
      </w:r>
    </w:p>
    <w:p w14:paraId="45C89A0A" w14:textId="77777777" w:rsidR="00D16EEF" w:rsidRDefault="00D16EEF" w:rsidP="00825859">
      <w:pPr>
        <w:pStyle w:val="Paragraphedeliste"/>
        <w:numPr>
          <w:ilvl w:val="0"/>
          <w:numId w:val="13"/>
        </w:numPr>
        <w:jc w:val="both"/>
      </w:pPr>
      <w:r>
        <w:t>Les projets devront respecter des critères de responsabilité environnementale, sociale et en termes de gouvernance.</w:t>
      </w:r>
    </w:p>
    <w:p w14:paraId="3BCA3A3D" w14:textId="77777777" w:rsidR="00D16EEF" w:rsidRDefault="00D16EEF" w:rsidP="00825859">
      <w:pPr>
        <w:pStyle w:val="Paragraphedeliste"/>
        <w:numPr>
          <w:ilvl w:val="0"/>
          <w:numId w:val="13"/>
        </w:numPr>
        <w:jc w:val="both"/>
      </w:pPr>
      <w:r>
        <w:t>La contribution des projets à la réduction des émissions de GES, à la biodiversité, la circularité, la réduction de recours à des substances toxiques est fortement valorisée.</w:t>
      </w:r>
    </w:p>
    <w:p w14:paraId="5829105F" w14:textId="77777777" w:rsidR="00EC63AD" w:rsidRDefault="00EC63AD" w:rsidP="00EC63AD">
      <w:pPr>
        <w:jc w:val="both"/>
      </w:pPr>
    </w:p>
    <w:tbl>
      <w:tblPr>
        <w:tblStyle w:val="Grilledutableau"/>
        <w:tblW w:w="9918" w:type="dxa"/>
        <w:tblLook w:val="04A0" w:firstRow="1" w:lastRow="0" w:firstColumn="1" w:lastColumn="0" w:noHBand="0" w:noVBand="1"/>
      </w:tblPr>
      <w:tblGrid>
        <w:gridCol w:w="2405"/>
        <w:gridCol w:w="7513"/>
      </w:tblGrid>
      <w:tr w:rsidR="00612BA5" w:rsidRPr="00EC0B0D" w14:paraId="63F81C9D" w14:textId="77777777" w:rsidTr="00765F85">
        <w:tc>
          <w:tcPr>
            <w:tcW w:w="2405" w:type="dxa"/>
            <w:shd w:val="clear" w:color="auto" w:fill="5F497A" w:themeFill="accent4" w:themeFillShade="BF"/>
          </w:tcPr>
          <w:p w14:paraId="3A660107" w14:textId="77777777" w:rsidR="00612BA5" w:rsidRPr="00646C64" w:rsidRDefault="00612BA5" w:rsidP="00765F85">
            <w:pPr>
              <w:jc w:val="both"/>
              <w:rPr>
                <w:b/>
                <w:bCs/>
                <w:color w:val="FFFFFF" w:themeColor="background1"/>
              </w:rPr>
            </w:pPr>
            <w:r w:rsidRPr="00646C64">
              <w:rPr>
                <w:b/>
                <w:bCs/>
                <w:color w:val="FFFFFF" w:themeColor="background1"/>
              </w:rPr>
              <w:lastRenderedPageBreak/>
              <w:t xml:space="preserve">Exemple </w:t>
            </w:r>
            <w:r>
              <w:rPr>
                <w:b/>
                <w:bCs/>
                <w:color w:val="FFFFFF" w:themeColor="background1"/>
              </w:rPr>
              <w:t>de projet</w:t>
            </w:r>
          </w:p>
        </w:tc>
        <w:tc>
          <w:tcPr>
            <w:tcW w:w="7513" w:type="dxa"/>
            <w:shd w:val="clear" w:color="auto" w:fill="auto"/>
          </w:tcPr>
          <w:p w14:paraId="76422E53" w14:textId="77777777" w:rsidR="00612BA5" w:rsidRPr="00612BA5" w:rsidRDefault="00612BA5" w:rsidP="00765F85">
            <w:pPr>
              <w:jc w:val="both"/>
              <w:rPr>
                <w:sz w:val="20"/>
                <w:szCs w:val="20"/>
              </w:rPr>
            </w:pPr>
            <w:r w:rsidRPr="00612BA5">
              <w:rPr>
                <w:sz w:val="20"/>
                <w:szCs w:val="20"/>
              </w:rPr>
              <w:t xml:space="preserve">L’ECBF a ainsi financé des entreprises développant des produits alternatifs aux pesticides innovants, ou encore proposant un nouveau schéma d’économie circulaire pour les épluchures de fruits afin d’éviter leur incinération. Plus d’informations sur les projets financés </w:t>
            </w:r>
            <w:hyperlink r:id="rId40" w:history="1">
              <w:r w:rsidRPr="00612BA5">
                <w:rPr>
                  <w:rStyle w:val="Lienhypertexte"/>
                  <w:sz w:val="20"/>
                  <w:szCs w:val="20"/>
                </w:rPr>
                <w:t>ici</w:t>
              </w:r>
            </w:hyperlink>
            <w:r w:rsidRPr="00612BA5">
              <w:rPr>
                <w:sz w:val="20"/>
                <w:szCs w:val="20"/>
              </w:rPr>
              <w:t>.</w:t>
            </w:r>
          </w:p>
        </w:tc>
      </w:tr>
      <w:tr w:rsidR="00612BA5" w:rsidRPr="00EC0B0D" w14:paraId="4A83C2E8" w14:textId="77777777" w:rsidTr="00765F85">
        <w:tc>
          <w:tcPr>
            <w:tcW w:w="2405" w:type="dxa"/>
            <w:shd w:val="clear" w:color="auto" w:fill="5F497A" w:themeFill="accent4" w:themeFillShade="BF"/>
          </w:tcPr>
          <w:p w14:paraId="406E939E" w14:textId="77777777" w:rsidR="00612BA5" w:rsidRPr="00646C64" w:rsidRDefault="00612BA5" w:rsidP="00765F85">
            <w:pPr>
              <w:jc w:val="both"/>
              <w:rPr>
                <w:b/>
                <w:bCs/>
                <w:color w:val="FFFFFF" w:themeColor="background1"/>
              </w:rPr>
            </w:pPr>
            <w:r w:rsidRPr="00646C64">
              <w:rPr>
                <w:b/>
                <w:bCs/>
                <w:color w:val="FFFFFF" w:themeColor="background1"/>
              </w:rPr>
              <w:t>Ressources</w:t>
            </w:r>
          </w:p>
        </w:tc>
        <w:tc>
          <w:tcPr>
            <w:tcW w:w="7513" w:type="dxa"/>
            <w:shd w:val="clear" w:color="auto" w:fill="auto"/>
          </w:tcPr>
          <w:p w14:paraId="6D21F368" w14:textId="77777777" w:rsidR="00612BA5" w:rsidRPr="00612BA5" w:rsidRDefault="00612BA5" w:rsidP="00612BA5">
            <w:pPr>
              <w:jc w:val="both"/>
              <w:rPr>
                <w:sz w:val="20"/>
                <w:szCs w:val="20"/>
              </w:rPr>
            </w:pPr>
            <w:r w:rsidRPr="00612BA5">
              <w:rPr>
                <w:sz w:val="20"/>
                <w:szCs w:val="20"/>
              </w:rPr>
              <w:t xml:space="preserve">Pour plus d’informations, vous pouvez consulter </w:t>
            </w:r>
            <w:hyperlink r:id="rId41" w:history="1">
              <w:r w:rsidRPr="00612BA5">
                <w:rPr>
                  <w:rStyle w:val="Lienhypertexte"/>
                  <w:sz w:val="20"/>
                  <w:szCs w:val="20"/>
                </w:rPr>
                <w:t>le site de l’EBCF</w:t>
              </w:r>
            </w:hyperlink>
            <w:r w:rsidRPr="00612BA5">
              <w:rPr>
                <w:sz w:val="20"/>
                <w:szCs w:val="20"/>
              </w:rPr>
              <w:t xml:space="preserve"> et contacter les membres de l’équipe de l’ECBF dont les coordonnées sont disponibles </w:t>
            </w:r>
            <w:hyperlink r:id="rId42" w:history="1">
              <w:r w:rsidRPr="00612BA5">
                <w:rPr>
                  <w:rStyle w:val="Lienhypertexte"/>
                  <w:sz w:val="20"/>
                  <w:szCs w:val="20"/>
                </w:rPr>
                <w:t>ici</w:t>
              </w:r>
            </w:hyperlink>
            <w:r w:rsidRPr="00612BA5">
              <w:rPr>
                <w:sz w:val="20"/>
                <w:szCs w:val="20"/>
              </w:rPr>
              <w:t>.</w:t>
            </w:r>
          </w:p>
        </w:tc>
      </w:tr>
    </w:tbl>
    <w:p w14:paraId="3BD92E4D" w14:textId="77777777" w:rsidR="00612BA5" w:rsidRDefault="00612BA5" w:rsidP="00EC63AD">
      <w:pPr>
        <w:jc w:val="both"/>
      </w:pPr>
    </w:p>
    <w:p w14:paraId="15D208A8" w14:textId="149E1068" w:rsidR="00374EF6" w:rsidRDefault="00374EF6" w:rsidP="00EC63AD">
      <w:pPr>
        <w:jc w:val="both"/>
      </w:pPr>
    </w:p>
    <w:p w14:paraId="0EE818A9" w14:textId="7906CBAE" w:rsidR="00EC1984" w:rsidRDefault="00EC1984" w:rsidP="00EC63AD">
      <w:pPr>
        <w:jc w:val="both"/>
      </w:pPr>
    </w:p>
    <w:p w14:paraId="14C0CC92" w14:textId="16F36EBC" w:rsidR="00EC1984" w:rsidRDefault="00EC1984" w:rsidP="00EC63AD">
      <w:pPr>
        <w:jc w:val="both"/>
      </w:pPr>
    </w:p>
    <w:p w14:paraId="49AFA477" w14:textId="77777777" w:rsidR="00EC1984" w:rsidRDefault="00EC1984" w:rsidP="00EC63AD">
      <w:pPr>
        <w:jc w:val="both"/>
      </w:pPr>
    </w:p>
    <w:p w14:paraId="1A1A26C4" w14:textId="77777777" w:rsidR="001377C2" w:rsidRDefault="00AC01D6" w:rsidP="00AC01D6">
      <w:pPr>
        <w:pStyle w:val="Style1"/>
        <w:numPr>
          <w:ilvl w:val="0"/>
          <w:numId w:val="0"/>
        </w:numPr>
        <w:jc w:val="center"/>
        <w:rPr>
          <w:i w:val="0"/>
          <w:iCs w:val="0"/>
          <w:color w:val="auto"/>
          <w:sz w:val="22"/>
          <w:szCs w:val="22"/>
          <w:u w:val="single"/>
        </w:rPr>
      </w:pPr>
      <w:bookmarkStart w:id="0" w:name="_Hlk72307540"/>
      <w:r w:rsidRPr="004F2DF1">
        <w:rPr>
          <w:i w:val="0"/>
          <w:iCs w:val="0"/>
          <w:color w:val="auto"/>
          <w:sz w:val="22"/>
          <w:szCs w:val="22"/>
          <w:u w:val="single"/>
        </w:rPr>
        <w:t>Instrument de prêt du Mécanisme pour l’interconnexion en Europe (MIE)</w:t>
      </w:r>
    </w:p>
    <w:p w14:paraId="35A2CFDA" w14:textId="1FBFBF49" w:rsidR="00AC01D6" w:rsidRPr="004F2DF1" w:rsidRDefault="00792B05" w:rsidP="00AC01D6">
      <w:pPr>
        <w:pStyle w:val="Style1"/>
        <w:numPr>
          <w:ilvl w:val="0"/>
          <w:numId w:val="0"/>
        </w:numPr>
        <w:jc w:val="center"/>
        <w:rPr>
          <w:i w:val="0"/>
          <w:iCs w:val="0"/>
          <w:color w:val="auto"/>
          <w:sz w:val="22"/>
          <w:szCs w:val="22"/>
          <w:u w:val="single"/>
        </w:rPr>
      </w:pPr>
      <w:r>
        <w:rPr>
          <w:i w:val="0"/>
          <w:iCs w:val="0"/>
          <w:color w:val="auto"/>
          <w:sz w:val="22"/>
          <w:szCs w:val="22"/>
          <w:u w:val="single"/>
        </w:rPr>
        <w:t>Energie, transport et numérique – approche réseaux</w:t>
      </w:r>
    </w:p>
    <w:p w14:paraId="420CA83A" w14:textId="77777777" w:rsidR="00AC01D6" w:rsidRDefault="00AC01D6" w:rsidP="00AC01D6">
      <w:pPr>
        <w:pStyle w:val="Paragraphedeliste"/>
        <w:ind w:left="360"/>
        <w:jc w:val="center"/>
      </w:pPr>
      <w:r>
        <w:t>NB : ce dispositif géré par la BEI a vocation à intégrer InvestEU</w:t>
      </w:r>
      <w:r w:rsidR="003A0437">
        <w:t xml:space="preserve"> (fiche dédiée)</w:t>
      </w:r>
    </w:p>
    <w:p w14:paraId="7A9E7E3A" w14:textId="77777777" w:rsidR="00E97670" w:rsidRDefault="00E97670" w:rsidP="00AC01D6">
      <w:pPr>
        <w:pStyle w:val="Paragraphedeliste"/>
        <w:ind w:left="360"/>
        <w:jc w:val="center"/>
      </w:pPr>
    </w:p>
    <w:p w14:paraId="2D5D6A03" w14:textId="77777777" w:rsidR="00AC01D6" w:rsidRDefault="00AC01D6" w:rsidP="00AC01D6">
      <w:pPr>
        <w:pStyle w:val="Paragraphedeliste"/>
        <w:numPr>
          <w:ilvl w:val="0"/>
          <w:numId w:val="32"/>
        </w:numPr>
        <w:jc w:val="both"/>
      </w:pPr>
      <w:r>
        <w:t xml:space="preserve">Le MIE (ou </w:t>
      </w:r>
      <w:proofErr w:type="spellStart"/>
      <w:r>
        <w:rPr>
          <w:i/>
          <w:iCs/>
        </w:rPr>
        <w:t>Connecting</w:t>
      </w:r>
      <w:proofErr w:type="spellEnd"/>
      <w:r>
        <w:rPr>
          <w:i/>
          <w:iCs/>
        </w:rPr>
        <w:t xml:space="preserve"> Europe Facility – CEF</w:t>
      </w:r>
      <w:r>
        <w:t xml:space="preserve">) est un programme de l’Union européenne </w:t>
      </w:r>
      <w:r w:rsidRPr="00825F08">
        <w:t xml:space="preserve">qui appuie la mise en place de </w:t>
      </w:r>
      <w:r w:rsidRPr="00825F08">
        <w:rPr>
          <w:b/>
          <w:bCs/>
        </w:rPr>
        <w:t>réseaux transeuropéens</w:t>
      </w:r>
      <w:r w:rsidRPr="00825F08">
        <w:t xml:space="preserve"> hautement performants, durables et efficacement interconnectés dans les </w:t>
      </w:r>
      <w:r w:rsidRPr="00825F08">
        <w:rPr>
          <w:b/>
          <w:bCs/>
        </w:rPr>
        <w:t>secteurs des transports, de l’énergie et des services numériques</w:t>
      </w:r>
      <w:r w:rsidRPr="00825F08">
        <w:t>.</w:t>
      </w:r>
      <w:r>
        <w:t xml:space="preserve"> </w:t>
      </w:r>
    </w:p>
    <w:p w14:paraId="73B8C124" w14:textId="19E3D6AA" w:rsidR="00AC01D6" w:rsidRDefault="00AC01D6" w:rsidP="00AC01D6">
      <w:pPr>
        <w:pStyle w:val="Paragraphedeliste"/>
        <w:numPr>
          <w:ilvl w:val="0"/>
          <w:numId w:val="32"/>
        </w:numPr>
        <w:jc w:val="both"/>
      </w:pPr>
      <w:r>
        <w:t xml:space="preserve">Une partie du programme est géré par l’agence européenne CINEA, et </w:t>
      </w:r>
      <w:r w:rsidR="00126393">
        <w:t xml:space="preserve">fonctionne comme un programme de financement concurrentiel avec appel à projets, </w:t>
      </w:r>
      <w:r w:rsidR="005B2BBF">
        <w:t>avec l’octroi</w:t>
      </w:r>
      <w:r>
        <w:t xml:space="preserve"> de subventions aux projets </w:t>
      </w:r>
      <w:r w:rsidR="00126393">
        <w:t xml:space="preserve">sélectionnés </w:t>
      </w:r>
      <w:r>
        <w:t>agissant dans les domaines suscités</w:t>
      </w:r>
      <w:r w:rsidR="00452D25">
        <w:t xml:space="preserve"> (il s’agit alors d’un soutien essentiellement aux études et dans quelques cas aux travaux)</w:t>
      </w:r>
      <w:r>
        <w:t xml:space="preserve">. Vous trouverez plus d’informations sur ce volet du programme dans la fiche dédiée ainsi que </w:t>
      </w:r>
      <w:hyperlink r:id="rId43" w:history="1">
        <w:r w:rsidRPr="00825F08">
          <w:rPr>
            <w:rStyle w:val="Lienhypertexte"/>
          </w:rPr>
          <w:t>sur le site de CINEA</w:t>
        </w:r>
      </w:hyperlink>
      <w:r>
        <w:t>.</w:t>
      </w:r>
    </w:p>
    <w:p w14:paraId="11D669EF" w14:textId="77777777" w:rsidR="00AC01D6" w:rsidRDefault="00AC01D6" w:rsidP="00AC01D6">
      <w:pPr>
        <w:pStyle w:val="Paragraphedeliste"/>
        <w:numPr>
          <w:ilvl w:val="0"/>
          <w:numId w:val="32"/>
        </w:numPr>
        <w:jc w:val="both"/>
      </w:pPr>
      <w:r>
        <w:t xml:space="preserve">Une autre partie du programme MIE est </w:t>
      </w:r>
      <w:r w:rsidRPr="00825F08">
        <w:rPr>
          <w:b/>
          <w:bCs/>
        </w:rPr>
        <w:t xml:space="preserve">géré par la BEI et consiste </w:t>
      </w:r>
      <w:r w:rsidR="005B2BBF">
        <w:rPr>
          <w:b/>
          <w:bCs/>
        </w:rPr>
        <w:t xml:space="preserve">en </w:t>
      </w:r>
      <w:r w:rsidRPr="00825F08">
        <w:rPr>
          <w:b/>
          <w:bCs/>
        </w:rPr>
        <w:t>un instrument de prêt dédié aux secteurs des transports et de l’énergie</w:t>
      </w:r>
      <w:r>
        <w:t>.</w:t>
      </w:r>
    </w:p>
    <w:p w14:paraId="69AAA002" w14:textId="77777777" w:rsidR="00AC01D6" w:rsidRDefault="00AC01D6" w:rsidP="00AC01D6">
      <w:pPr>
        <w:jc w:val="both"/>
      </w:pPr>
    </w:p>
    <w:tbl>
      <w:tblPr>
        <w:tblStyle w:val="Grilledutableau"/>
        <w:tblW w:w="9918" w:type="dxa"/>
        <w:tblLook w:val="04A0" w:firstRow="1" w:lastRow="0" w:firstColumn="1" w:lastColumn="0" w:noHBand="0" w:noVBand="1"/>
      </w:tblPr>
      <w:tblGrid>
        <w:gridCol w:w="1980"/>
        <w:gridCol w:w="2977"/>
        <w:gridCol w:w="4961"/>
      </w:tblGrid>
      <w:tr w:rsidR="00AC01D6" w:rsidRPr="005513A2" w14:paraId="332908E4" w14:textId="77777777" w:rsidTr="00EA0E8A">
        <w:tc>
          <w:tcPr>
            <w:tcW w:w="9918" w:type="dxa"/>
            <w:gridSpan w:val="3"/>
            <w:shd w:val="clear" w:color="auto" w:fill="5F497A" w:themeFill="accent4" w:themeFillShade="BF"/>
          </w:tcPr>
          <w:p w14:paraId="51C950AE" w14:textId="77777777" w:rsidR="00AC01D6" w:rsidRPr="005513A2" w:rsidRDefault="00AC01D6" w:rsidP="00EA0E8A">
            <w:pPr>
              <w:jc w:val="center"/>
              <w:rPr>
                <w:b/>
                <w:bCs/>
                <w:color w:val="FFFFFF" w:themeColor="background1"/>
              </w:rPr>
            </w:pPr>
            <w:r>
              <w:rPr>
                <w:b/>
                <w:bCs/>
                <w:color w:val="FFFFFF" w:themeColor="background1"/>
              </w:rPr>
              <w:t>Caractéristiques clefs</w:t>
            </w:r>
          </w:p>
        </w:tc>
      </w:tr>
      <w:tr w:rsidR="00AC01D6" w:rsidRPr="00AB15DE" w14:paraId="5A000D9C" w14:textId="77777777" w:rsidTr="00EA0E8A">
        <w:tc>
          <w:tcPr>
            <w:tcW w:w="1980" w:type="dxa"/>
            <w:shd w:val="clear" w:color="auto" w:fill="B2A1C7" w:themeFill="accent4" w:themeFillTint="99"/>
          </w:tcPr>
          <w:p w14:paraId="4846D8F6" w14:textId="77777777" w:rsidR="00AC01D6" w:rsidRDefault="00AC01D6" w:rsidP="00EA0E8A">
            <w:pPr>
              <w:rPr>
                <w:b/>
                <w:bCs/>
                <w:sz w:val="24"/>
                <w:szCs w:val="24"/>
                <w:u w:val="single"/>
              </w:rPr>
            </w:pPr>
            <w:r>
              <w:rPr>
                <w:b/>
                <w:bCs/>
              </w:rPr>
              <w:t>Objectif</w:t>
            </w:r>
          </w:p>
        </w:tc>
        <w:tc>
          <w:tcPr>
            <w:tcW w:w="2977" w:type="dxa"/>
            <w:shd w:val="clear" w:color="auto" w:fill="B2A1C7" w:themeFill="accent4" w:themeFillTint="99"/>
          </w:tcPr>
          <w:p w14:paraId="60FE2FCE" w14:textId="77777777" w:rsidR="00AC01D6" w:rsidRDefault="00AC01D6" w:rsidP="00EA0E8A">
            <w:pPr>
              <w:rPr>
                <w:b/>
                <w:bCs/>
              </w:rPr>
            </w:pPr>
            <w:r>
              <w:rPr>
                <w:b/>
                <w:bCs/>
              </w:rPr>
              <w:t>Porteurs éligibles</w:t>
            </w:r>
          </w:p>
        </w:tc>
        <w:tc>
          <w:tcPr>
            <w:tcW w:w="4961" w:type="dxa"/>
            <w:shd w:val="clear" w:color="auto" w:fill="B2A1C7" w:themeFill="accent4" w:themeFillTint="99"/>
          </w:tcPr>
          <w:p w14:paraId="127CD4E5" w14:textId="77777777" w:rsidR="00AC01D6" w:rsidRPr="00AB15DE" w:rsidRDefault="00AC01D6" w:rsidP="00EA0E8A">
            <w:pPr>
              <w:rPr>
                <w:b/>
                <w:bCs/>
              </w:rPr>
            </w:pPr>
            <w:r>
              <w:rPr>
                <w:b/>
                <w:bCs/>
              </w:rPr>
              <w:t>Dispositions particulières</w:t>
            </w:r>
          </w:p>
        </w:tc>
      </w:tr>
      <w:tr w:rsidR="00AC01D6" w:rsidRPr="00D16EEF" w14:paraId="670B37DF" w14:textId="77777777" w:rsidTr="00EA0E8A">
        <w:tc>
          <w:tcPr>
            <w:tcW w:w="1980" w:type="dxa"/>
          </w:tcPr>
          <w:p w14:paraId="4F171142" w14:textId="77777777" w:rsidR="00AC01D6" w:rsidRPr="0076667E" w:rsidRDefault="00AC01D6" w:rsidP="00B74B9D">
            <w:pPr>
              <w:rPr>
                <w:sz w:val="20"/>
                <w:szCs w:val="20"/>
              </w:rPr>
            </w:pPr>
            <w:r w:rsidRPr="0076667E">
              <w:rPr>
                <w:sz w:val="20"/>
                <w:szCs w:val="20"/>
              </w:rPr>
              <w:t>Soutenir l’investissement dans ces secteurs lorsque les financements privés sont insuffisants.</w:t>
            </w:r>
          </w:p>
          <w:p w14:paraId="42FDE6EB" w14:textId="77777777" w:rsidR="00AC01D6" w:rsidRPr="0076667E" w:rsidRDefault="00AC01D6" w:rsidP="00EA0E8A">
            <w:pPr>
              <w:jc w:val="both"/>
              <w:rPr>
                <w:sz w:val="20"/>
                <w:szCs w:val="20"/>
              </w:rPr>
            </w:pPr>
          </w:p>
        </w:tc>
        <w:tc>
          <w:tcPr>
            <w:tcW w:w="2977" w:type="dxa"/>
          </w:tcPr>
          <w:p w14:paraId="2190AC53" w14:textId="77777777" w:rsidR="00AC01D6" w:rsidRPr="0076667E" w:rsidRDefault="00AC01D6" w:rsidP="00AC01D6">
            <w:pPr>
              <w:pStyle w:val="Paragraphedeliste"/>
              <w:numPr>
                <w:ilvl w:val="0"/>
                <w:numId w:val="34"/>
              </w:numPr>
              <w:rPr>
                <w:sz w:val="20"/>
                <w:szCs w:val="20"/>
              </w:rPr>
            </w:pPr>
            <w:r w:rsidRPr="0076667E">
              <w:rPr>
                <w:sz w:val="20"/>
                <w:szCs w:val="20"/>
              </w:rPr>
              <w:t>Structures de financement sur projet ;</w:t>
            </w:r>
          </w:p>
          <w:p w14:paraId="462FB5A8" w14:textId="77777777" w:rsidR="00AC01D6" w:rsidRPr="0076667E" w:rsidRDefault="00AC01D6" w:rsidP="00AC01D6">
            <w:pPr>
              <w:pStyle w:val="Paragraphedeliste"/>
              <w:numPr>
                <w:ilvl w:val="0"/>
                <w:numId w:val="34"/>
              </w:numPr>
              <w:rPr>
                <w:sz w:val="20"/>
                <w:szCs w:val="20"/>
              </w:rPr>
            </w:pPr>
            <w:r w:rsidRPr="0076667E">
              <w:rPr>
                <w:sz w:val="20"/>
                <w:szCs w:val="20"/>
              </w:rPr>
              <w:t>Entités publiques, comme les autorités locales de transport ;</w:t>
            </w:r>
          </w:p>
          <w:p w14:paraId="2F58CF24" w14:textId="77777777" w:rsidR="00AC01D6" w:rsidRPr="0076667E" w:rsidRDefault="00AC01D6" w:rsidP="00AC01D6">
            <w:pPr>
              <w:pStyle w:val="Paragraphedeliste"/>
              <w:numPr>
                <w:ilvl w:val="0"/>
                <w:numId w:val="34"/>
              </w:numPr>
              <w:rPr>
                <w:sz w:val="20"/>
                <w:szCs w:val="20"/>
              </w:rPr>
            </w:pPr>
            <w:r w:rsidRPr="0076667E">
              <w:rPr>
                <w:sz w:val="20"/>
                <w:szCs w:val="20"/>
              </w:rPr>
              <w:t>Grandes entreprises ;</w:t>
            </w:r>
          </w:p>
          <w:p w14:paraId="7D0F5B23" w14:textId="77777777" w:rsidR="00AC01D6" w:rsidRPr="0076667E" w:rsidRDefault="00AC01D6" w:rsidP="00AC01D6">
            <w:pPr>
              <w:pStyle w:val="Paragraphedeliste"/>
              <w:numPr>
                <w:ilvl w:val="0"/>
                <w:numId w:val="34"/>
              </w:numPr>
              <w:rPr>
                <w:sz w:val="20"/>
                <w:szCs w:val="20"/>
              </w:rPr>
            </w:pPr>
            <w:r w:rsidRPr="0076667E">
              <w:rPr>
                <w:sz w:val="20"/>
                <w:szCs w:val="20"/>
              </w:rPr>
              <w:t>PME et ETI sous réserve que le financement requis pour le projet soit supérieur à 7,5M€.</w:t>
            </w:r>
          </w:p>
        </w:tc>
        <w:tc>
          <w:tcPr>
            <w:tcW w:w="4961" w:type="dxa"/>
          </w:tcPr>
          <w:p w14:paraId="51283D5B" w14:textId="77777777" w:rsidR="00AC01D6" w:rsidRPr="00963E71" w:rsidRDefault="00AC01D6" w:rsidP="00AC01D6">
            <w:pPr>
              <w:pStyle w:val="Paragraphedeliste"/>
              <w:numPr>
                <w:ilvl w:val="0"/>
                <w:numId w:val="34"/>
              </w:numPr>
              <w:jc w:val="both"/>
              <w:rPr>
                <w:sz w:val="20"/>
                <w:szCs w:val="20"/>
              </w:rPr>
            </w:pPr>
            <w:r w:rsidRPr="00963E71">
              <w:rPr>
                <w:sz w:val="20"/>
                <w:szCs w:val="20"/>
              </w:rPr>
              <w:t>Il est possible de combiner les subventions du MIE ainsi que l’instrument de prêt.</w:t>
            </w:r>
          </w:p>
          <w:p w14:paraId="0FC6BEC7" w14:textId="77777777" w:rsidR="00AC01D6" w:rsidRPr="00963E71" w:rsidRDefault="00AC01D6" w:rsidP="00AC01D6">
            <w:pPr>
              <w:pStyle w:val="Paragraphedeliste"/>
              <w:numPr>
                <w:ilvl w:val="0"/>
                <w:numId w:val="34"/>
              </w:numPr>
              <w:jc w:val="both"/>
              <w:rPr>
                <w:sz w:val="20"/>
                <w:szCs w:val="20"/>
              </w:rPr>
            </w:pPr>
            <w:r w:rsidRPr="00963E71">
              <w:rPr>
                <w:sz w:val="20"/>
                <w:szCs w:val="20"/>
              </w:rPr>
              <w:t>Cet instrument se décline en plusieurs types de financement octroyés par la BEI ou par des intermédiaires financiers :</w:t>
            </w:r>
          </w:p>
          <w:p w14:paraId="56918F4A" w14:textId="77777777" w:rsidR="00AC01D6" w:rsidRPr="00963E71" w:rsidRDefault="00AC01D6" w:rsidP="00AC01D6">
            <w:pPr>
              <w:pStyle w:val="Paragraphedeliste"/>
              <w:numPr>
                <w:ilvl w:val="1"/>
                <w:numId w:val="34"/>
              </w:numPr>
              <w:jc w:val="both"/>
              <w:rPr>
                <w:sz w:val="20"/>
                <w:szCs w:val="20"/>
              </w:rPr>
            </w:pPr>
            <w:proofErr w:type="gramStart"/>
            <w:r w:rsidRPr="00963E71">
              <w:rPr>
                <w:sz w:val="20"/>
                <w:szCs w:val="20"/>
              </w:rPr>
              <w:t>prêts</w:t>
            </w:r>
            <w:proofErr w:type="gramEnd"/>
            <w:r w:rsidRPr="00963E71">
              <w:rPr>
                <w:sz w:val="20"/>
                <w:szCs w:val="20"/>
              </w:rPr>
              <w:t xml:space="preserve"> de premier rang ou subordonnés,</w:t>
            </w:r>
          </w:p>
          <w:p w14:paraId="2932F029" w14:textId="77777777" w:rsidR="00AC01D6" w:rsidRPr="00963E71" w:rsidRDefault="00AC01D6" w:rsidP="00AC01D6">
            <w:pPr>
              <w:pStyle w:val="Paragraphedeliste"/>
              <w:numPr>
                <w:ilvl w:val="1"/>
                <w:numId w:val="34"/>
              </w:numPr>
              <w:jc w:val="both"/>
              <w:rPr>
                <w:sz w:val="20"/>
                <w:szCs w:val="20"/>
              </w:rPr>
            </w:pPr>
            <w:proofErr w:type="gramStart"/>
            <w:r w:rsidRPr="00963E71">
              <w:rPr>
                <w:sz w:val="20"/>
                <w:szCs w:val="20"/>
              </w:rPr>
              <w:t>garanties</w:t>
            </w:r>
            <w:proofErr w:type="gramEnd"/>
            <w:r w:rsidRPr="00963E71">
              <w:rPr>
                <w:sz w:val="20"/>
                <w:szCs w:val="20"/>
              </w:rPr>
              <w:t>,</w:t>
            </w:r>
          </w:p>
          <w:p w14:paraId="22342C6A" w14:textId="77777777" w:rsidR="00AC01D6" w:rsidRPr="00963E71" w:rsidRDefault="00AC01D6" w:rsidP="00AC01D6">
            <w:pPr>
              <w:pStyle w:val="Paragraphedeliste"/>
              <w:numPr>
                <w:ilvl w:val="0"/>
                <w:numId w:val="34"/>
              </w:numPr>
              <w:rPr>
                <w:sz w:val="20"/>
                <w:szCs w:val="20"/>
              </w:rPr>
            </w:pPr>
            <w:r w:rsidRPr="00963E71">
              <w:rPr>
                <w:sz w:val="20"/>
                <w:szCs w:val="20"/>
              </w:rPr>
              <w:t>Les projets doivent être situés sur le territoire de l’Union européenne.</w:t>
            </w:r>
          </w:p>
          <w:p w14:paraId="469897FA" w14:textId="77777777" w:rsidR="00AC01D6" w:rsidRPr="00963E71" w:rsidRDefault="00AC01D6" w:rsidP="00EA0E8A">
            <w:pPr>
              <w:rPr>
                <w:sz w:val="20"/>
                <w:szCs w:val="20"/>
              </w:rPr>
            </w:pPr>
          </w:p>
        </w:tc>
      </w:tr>
    </w:tbl>
    <w:p w14:paraId="346B4EFD" w14:textId="77777777" w:rsidR="00AC01D6" w:rsidRDefault="00AC01D6" w:rsidP="00AC01D6">
      <w:pPr>
        <w:jc w:val="both"/>
      </w:pPr>
    </w:p>
    <w:p w14:paraId="13C205BF" w14:textId="77777777" w:rsidR="00AC01D6" w:rsidRPr="005A35F4" w:rsidRDefault="00AC01D6" w:rsidP="00AC01D6">
      <w:pPr>
        <w:pStyle w:val="Paragraphedeliste"/>
        <w:numPr>
          <w:ilvl w:val="0"/>
          <w:numId w:val="32"/>
        </w:numPr>
      </w:pPr>
      <w:r>
        <w:t xml:space="preserve">L’instrument de prêt du MIE est structuré en </w:t>
      </w:r>
      <w:r>
        <w:rPr>
          <w:b/>
          <w:bCs/>
        </w:rPr>
        <w:t>quatre domaines :</w:t>
      </w:r>
    </w:p>
    <w:p w14:paraId="15632EF4" w14:textId="77777777" w:rsidR="00AC01D6" w:rsidRDefault="00AC01D6" w:rsidP="00AC01D6"/>
    <w:tbl>
      <w:tblPr>
        <w:tblStyle w:val="TableauGrille5Fonc-Accentuation4"/>
        <w:tblW w:w="11151" w:type="dxa"/>
        <w:tblInd w:w="-714" w:type="dxa"/>
        <w:tblLook w:val="04A0" w:firstRow="1" w:lastRow="0" w:firstColumn="1" w:lastColumn="0" w:noHBand="0" w:noVBand="1"/>
      </w:tblPr>
      <w:tblGrid>
        <w:gridCol w:w="1576"/>
        <w:gridCol w:w="2456"/>
        <w:gridCol w:w="2310"/>
        <w:gridCol w:w="2630"/>
        <w:gridCol w:w="2179"/>
      </w:tblGrid>
      <w:tr w:rsidR="00AC01D6" w14:paraId="35752FD7" w14:textId="77777777" w:rsidTr="003D35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90D13D2" w14:textId="77777777" w:rsidR="00AC01D6" w:rsidRDefault="00AC01D6" w:rsidP="00EA0E8A">
            <w:pPr>
              <w:rPr>
                <w:i/>
                <w:iCs/>
              </w:rPr>
            </w:pPr>
          </w:p>
        </w:tc>
        <w:tc>
          <w:tcPr>
            <w:tcW w:w="2411" w:type="dxa"/>
          </w:tcPr>
          <w:p w14:paraId="25BE1637" w14:textId="77777777" w:rsidR="00AC01D6" w:rsidRPr="000B123E" w:rsidRDefault="00AC01D6" w:rsidP="00EA0E8A">
            <w:pPr>
              <w:cnfStyle w:val="100000000000" w:firstRow="1" w:lastRow="0" w:firstColumn="0" w:lastColumn="0" w:oddVBand="0" w:evenVBand="0" w:oddHBand="0" w:evenHBand="0" w:firstRowFirstColumn="0" w:firstRowLastColumn="0" w:lastRowFirstColumn="0" w:lastRowLastColumn="0"/>
            </w:pPr>
            <w:r w:rsidRPr="000B123E">
              <w:t>Transports plus propres</w:t>
            </w:r>
          </w:p>
        </w:tc>
        <w:tc>
          <w:tcPr>
            <w:tcW w:w="2268" w:type="dxa"/>
          </w:tcPr>
          <w:p w14:paraId="0866F4EE" w14:textId="77777777" w:rsidR="00AC01D6" w:rsidRPr="000B123E" w:rsidRDefault="00AC01D6" w:rsidP="00EA0E8A">
            <w:pPr>
              <w:cnfStyle w:val="100000000000" w:firstRow="1" w:lastRow="0" w:firstColumn="0" w:lastColumn="0" w:oddVBand="0" w:evenVBand="0" w:oddHBand="0" w:evenHBand="0" w:firstRowFirstColumn="0" w:firstRowLastColumn="0" w:lastRowFirstColumn="0" w:lastRowLastColumn="0"/>
            </w:pPr>
            <w:r w:rsidRPr="000B123E">
              <w:t>Système de gestion du trafic</w:t>
            </w:r>
          </w:p>
        </w:tc>
        <w:tc>
          <w:tcPr>
            <w:tcW w:w="2582" w:type="dxa"/>
          </w:tcPr>
          <w:p w14:paraId="70CF03BB" w14:textId="77777777" w:rsidR="00AC01D6" w:rsidRPr="000B123E" w:rsidRDefault="00AC01D6" w:rsidP="00EA0E8A">
            <w:pPr>
              <w:cnfStyle w:val="100000000000" w:firstRow="1" w:lastRow="0" w:firstColumn="0" w:lastColumn="0" w:oddVBand="0" w:evenVBand="0" w:oddHBand="0" w:evenHBand="0" w:firstRowFirstColumn="0" w:firstRowLastColumn="0" w:lastRowFirstColumn="0" w:lastRowLastColumn="0"/>
            </w:pPr>
            <w:r w:rsidRPr="000B123E">
              <w:t>Connecter les infrastructures</w:t>
            </w:r>
          </w:p>
        </w:tc>
        <w:tc>
          <w:tcPr>
            <w:tcW w:w="0" w:type="dxa"/>
          </w:tcPr>
          <w:p w14:paraId="50CF22C1" w14:textId="77777777" w:rsidR="00AC01D6" w:rsidRPr="000B123E" w:rsidRDefault="00AC01D6" w:rsidP="00EA0E8A">
            <w:pPr>
              <w:cnfStyle w:val="100000000000" w:firstRow="1" w:lastRow="0" w:firstColumn="0" w:lastColumn="0" w:oddVBand="0" w:evenVBand="0" w:oddHBand="0" w:evenHBand="0" w:firstRowFirstColumn="0" w:firstRowLastColumn="0" w:lastRowFirstColumn="0" w:lastRowLastColumn="0"/>
            </w:pPr>
            <w:r w:rsidRPr="000B123E">
              <w:t xml:space="preserve">Mobilité </w:t>
            </w:r>
            <w:r>
              <w:t>future</w:t>
            </w:r>
          </w:p>
        </w:tc>
      </w:tr>
      <w:tr w:rsidR="00AC01D6" w14:paraId="0878D806" w14:textId="77777777" w:rsidTr="003D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BB909E5" w14:textId="77777777" w:rsidR="00AC01D6" w:rsidRPr="002E75E0" w:rsidRDefault="00AC01D6" w:rsidP="00EA0E8A">
            <w:r w:rsidRPr="002E75E0">
              <w:t>Résumé</w:t>
            </w:r>
          </w:p>
        </w:tc>
        <w:tc>
          <w:tcPr>
            <w:tcW w:w="2411" w:type="dxa"/>
          </w:tcPr>
          <w:p w14:paraId="34BD7846" w14:textId="77777777" w:rsidR="00AC01D6" w:rsidRPr="002E75E0" w:rsidRDefault="00AC01D6" w:rsidP="00EA0E8A">
            <w:pPr>
              <w:cnfStyle w:val="000000100000" w:firstRow="0" w:lastRow="0" w:firstColumn="0" w:lastColumn="0" w:oddVBand="0" w:evenVBand="0" w:oddHBand="1" w:evenHBand="0" w:firstRowFirstColumn="0" w:firstRowLastColumn="0" w:lastRowFirstColumn="0" w:lastRowLastColumn="0"/>
              <w:rPr>
                <w:sz w:val="20"/>
                <w:szCs w:val="20"/>
              </w:rPr>
            </w:pPr>
            <w:r w:rsidRPr="002E75E0">
              <w:rPr>
                <w:sz w:val="20"/>
                <w:szCs w:val="20"/>
              </w:rPr>
              <w:t>Financement du déploiement accéléré de véhicules de transport plus propres et contribue à satisfaire les besoins qui en découlent en matière d’infrastructures.</w:t>
            </w:r>
          </w:p>
        </w:tc>
        <w:tc>
          <w:tcPr>
            <w:tcW w:w="2268" w:type="dxa"/>
          </w:tcPr>
          <w:p w14:paraId="63BBE66D" w14:textId="77777777" w:rsidR="00AC01D6" w:rsidRPr="002E75E0" w:rsidRDefault="00AC01D6" w:rsidP="00EA0E8A">
            <w:pPr>
              <w:cnfStyle w:val="000000100000" w:firstRow="0" w:lastRow="0" w:firstColumn="0" w:lastColumn="0" w:oddVBand="0" w:evenVBand="0" w:oddHBand="1" w:evenHBand="0" w:firstRowFirstColumn="0" w:firstRowLastColumn="0" w:lastRowFirstColumn="0" w:lastRowLastColumn="0"/>
              <w:rPr>
                <w:sz w:val="20"/>
                <w:szCs w:val="20"/>
              </w:rPr>
            </w:pPr>
            <w:r w:rsidRPr="002E75E0">
              <w:rPr>
                <w:sz w:val="20"/>
                <w:szCs w:val="20"/>
              </w:rPr>
              <w:t>Financement d’outils visant à améliorer l’efficacité du trafic et la sécurité des réseaux : outils permettant l’affectation, l’optimisation et la prévision.</w:t>
            </w:r>
          </w:p>
        </w:tc>
        <w:tc>
          <w:tcPr>
            <w:tcW w:w="2582" w:type="dxa"/>
          </w:tcPr>
          <w:p w14:paraId="3A83CB00" w14:textId="77777777" w:rsidR="00AC01D6" w:rsidRPr="002E75E0" w:rsidRDefault="00AC01D6" w:rsidP="00EA0E8A">
            <w:pPr>
              <w:cnfStyle w:val="000000100000" w:firstRow="0" w:lastRow="0" w:firstColumn="0" w:lastColumn="0" w:oddVBand="0" w:evenVBand="0" w:oddHBand="1" w:evenHBand="0" w:firstRowFirstColumn="0" w:firstRowLastColumn="0" w:lastRowFirstColumn="0" w:lastRowLastColumn="0"/>
              <w:rPr>
                <w:sz w:val="20"/>
                <w:szCs w:val="20"/>
              </w:rPr>
            </w:pPr>
            <w:r w:rsidRPr="002E75E0">
              <w:rPr>
                <w:sz w:val="20"/>
                <w:szCs w:val="20"/>
              </w:rPr>
              <w:t>Financement de projets mettant l’accent sur l’intégration modale, l’interopérabilité et la mise en place coordonnée d’infrastructures</w:t>
            </w:r>
          </w:p>
        </w:tc>
        <w:tc>
          <w:tcPr>
            <w:tcW w:w="0" w:type="dxa"/>
          </w:tcPr>
          <w:p w14:paraId="6D0F8BF3" w14:textId="77777777" w:rsidR="00AC01D6" w:rsidRPr="002E75E0" w:rsidRDefault="00AC01D6" w:rsidP="00EA0E8A">
            <w:pPr>
              <w:cnfStyle w:val="000000100000" w:firstRow="0" w:lastRow="0" w:firstColumn="0" w:lastColumn="0" w:oddVBand="0" w:evenVBand="0" w:oddHBand="1" w:evenHBand="0" w:firstRowFirstColumn="0" w:firstRowLastColumn="0" w:lastRowFirstColumn="0" w:lastRowLastColumn="0"/>
              <w:rPr>
                <w:sz w:val="20"/>
                <w:szCs w:val="20"/>
              </w:rPr>
            </w:pPr>
            <w:r w:rsidRPr="002E75E0">
              <w:rPr>
                <w:sz w:val="20"/>
                <w:szCs w:val="20"/>
              </w:rPr>
              <w:t>Projets à plus haut risque pour une mobilité plus propre, plus intelligente et davantage automatisée.</w:t>
            </w:r>
          </w:p>
        </w:tc>
      </w:tr>
      <w:tr w:rsidR="00AC01D6" w14:paraId="7965518A" w14:textId="77777777" w:rsidTr="003D35DF">
        <w:tc>
          <w:tcPr>
            <w:cnfStyle w:val="001000000000" w:firstRow="0" w:lastRow="0" w:firstColumn="1" w:lastColumn="0" w:oddVBand="0" w:evenVBand="0" w:oddHBand="0" w:evenHBand="0" w:firstRowFirstColumn="0" w:firstRowLastColumn="0" w:lastRowFirstColumn="0" w:lastRowLastColumn="0"/>
            <w:tcW w:w="0" w:type="dxa"/>
          </w:tcPr>
          <w:p w14:paraId="1F0423A4" w14:textId="77777777" w:rsidR="00AC01D6" w:rsidRPr="002E75E0" w:rsidRDefault="00AC01D6" w:rsidP="00EA0E8A">
            <w:r w:rsidRPr="002E75E0">
              <w:t>Champ d’admissibilité</w:t>
            </w:r>
          </w:p>
        </w:tc>
        <w:tc>
          <w:tcPr>
            <w:tcW w:w="2411" w:type="dxa"/>
          </w:tcPr>
          <w:p w14:paraId="12C693FD" w14:textId="77777777" w:rsidR="00AC01D6" w:rsidRDefault="00AC01D6" w:rsidP="00EA0E8A">
            <w:p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t xml:space="preserve">Transports plus propres visant notamment : des </w:t>
            </w:r>
            <w:r w:rsidRPr="002E75E0">
              <w:rPr>
                <w:sz w:val="20"/>
                <w:szCs w:val="20"/>
              </w:rPr>
              <w:lastRenderedPageBreak/>
              <w:t>services sûrs, efficaces et durables ; des transports innovants ; la multimodalité ; l’efficacité des ressources et la réduction des émissions ; fournir des informations sur les performances de la flotte ; désenclavement.</w:t>
            </w:r>
          </w:p>
          <w:p w14:paraId="7CD80CA9" w14:textId="7A19B95A" w:rsidR="00566421" w:rsidRPr="002E75E0" w:rsidRDefault="00566421" w:rsidP="00EA0E8A">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Ex : renouvellement de flottes de véhicules, conception et production de nouveaux véhicules propres, etc.</w:t>
            </w:r>
          </w:p>
        </w:tc>
        <w:tc>
          <w:tcPr>
            <w:tcW w:w="2268" w:type="dxa"/>
          </w:tcPr>
          <w:p w14:paraId="076AB78B" w14:textId="77777777" w:rsidR="00AC01D6" w:rsidRPr="002E75E0" w:rsidRDefault="00AC01D6" w:rsidP="00EA0E8A">
            <w:p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lastRenderedPageBreak/>
              <w:t xml:space="preserve">Systèmes européens de gestion du trafic pour </w:t>
            </w:r>
            <w:r w:rsidRPr="002E75E0">
              <w:rPr>
                <w:sz w:val="20"/>
                <w:szCs w:val="20"/>
              </w:rPr>
              <w:lastRenderedPageBreak/>
              <w:t xml:space="preserve">tout mode de transport, notamment aérien et ferroviaire,: </w:t>
            </w:r>
            <w:hyperlink r:id="rId44" w:history="1">
              <w:r w:rsidRPr="002E75E0">
                <w:rPr>
                  <w:rStyle w:val="Lienhypertexte"/>
                  <w:sz w:val="20"/>
                  <w:szCs w:val="20"/>
                </w:rPr>
                <w:t>système européen de gestion du trafic ferroviaire</w:t>
              </w:r>
            </w:hyperlink>
            <w:r w:rsidRPr="002E75E0">
              <w:rPr>
                <w:sz w:val="20"/>
                <w:szCs w:val="20"/>
              </w:rPr>
              <w:t xml:space="preserve">, </w:t>
            </w:r>
            <w:hyperlink r:id="rId45" w:history="1">
              <w:r w:rsidRPr="002E75E0">
                <w:rPr>
                  <w:rStyle w:val="Lienhypertexte"/>
                  <w:sz w:val="20"/>
                  <w:szCs w:val="20"/>
                </w:rPr>
                <w:t>réseaux de transports intelligents</w:t>
              </w:r>
            </w:hyperlink>
            <w:r w:rsidRPr="002E75E0">
              <w:rPr>
                <w:sz w:val="20"/>
                <w:szCs w:val="20"/>
              </w:rPr>
              <w:t xml:space="preserve">, systèmes de suivi du trafic des navires et d’information, services d’information fluviale, et le </w:t>
            </w:r>
            <w:hyperlink r:id="rId46" w:history="1">
              <w:r w:rsidRPr="002E75E0">
                <w:rPr>
                  <w:rStyle w:val="Lienhypertexte"/>
                  <w:sz w:val="20"/>
                  <w:szCs w:val="20"/>
                </w:rPr>
                <w:t>système européen pour la gestion du trafic aérien</w:t>
              </w:r>
            </w:hyperlink>
            <w:r w:rsidRPr="002E75E0">
              <w:rPr>
                <w:sz w:val="20"/>
                <w:szCs w:val="20"/>
              </w:rPr>
              <w:t xml:space="preserve"> (SESAR)</w:t>
            </w:r>
          </w:p>
        </w:tc>
        <w:tc>
          <w:tcPr>
            <w:tcW w:w="2582" w:type="dxa"/>
          </w:tcPr>
          <w:p w14:paraId="2410049F" w14:textId="77777777" w:rsidR="00AC01D6" w:rsidRPr="002E75E0" w:rsidRDefault="00AC01D6" w:rsidP="00EA0E8A">
            <w:p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lastRenderedPageBreak/>
              <w:t xml:space="preserve">Amélioration des connexions transfrontalières, résorption </w:t>
            </w:r>
            <w:r w:rsidRPr="002E75E0">
              <w:rPr>
                <w:sz w:val="20"/>
                <w:szCs w:val="20"/>
              </w:rPr>
              <w:lastRenderedPageBreak/>
              <w:t xml:space="preserve">des </w:t>
            </w:r>
            <w:r w:rsidRPr="00566421">
              <w:rPr>
                <w:sz w:val="20"/>
                <w:szCs w:val="20"/>
              </w:rPr>
              <w:t>goulets d’étranglement</w:t>
            </w:r>
            <w:r w:rsidRPr="002E75E0">
              <w:rPr>
                <w:sz w:val="20"/>
                <w:szCs w:val="20"/>
              </w:rPr>
              <w:t xml:space="preserve"> et établissement de liaisons manquantes sur </w:t>
            </w:r>
            <w:hyperlink r:id="rId47" w:history="1">
              <w:r w:rsidRPr="002E75E0">
                <w:rPr>
                  <w:rStyle w:val="Lienhypertexte"/>
                  <w:sz w:val="20"/>
                  <w:szCs w:val="20"/>
                </w:rPr>
                <w:t>le réseau RT</w:t>
              </w:r>
              <w:r w:rsidR="00722CE6">
                <w:rPr>
                  <w:rStyle w:val="Lienhypertexte"/>
                  <w:sz w:val="20"/>
                  <w:szCs w:val="20"/>
                </w:rPr>
                <w:t>E</w:t>
              </w:r>
              <w:r w:rsidRPr="002E75E0">
                <w:rPr>
                  <w:rStyle w:val="Lienhypertexte"/>
                  <w:sz w:val="20"/>
                  <w:szCs w:val="20"/>
                </w:rPr>
                <w:t>-T</w:t>
              </w:r>
            </w:hyperlink>
            <w:r w:rsidRPr="002E75E0">
              <w:rPr>
                <w:sz w:val="20"/>
                <w:szCs w:val="20"/>
              </w:rPr>
              <w:t xml:space="preserve"> ; renforcement de l’interopérabilité ferroviaire ; optimisation de l’intégration et interconnexion des modes de transport ; renforcer l’interopérabilité des services de transport ; améliorations des infrastructures énergétiques transeuropéennes relevant des </w:t>
            </w:r>
            <w:hyperlink r:id="rId48" w:history="1">
              <w:r w:rsidRPr="002E75E0">
                <w:rPr>
                  <w:rStyle w:val="Lienhypertexte"/>
                  <w:sz w:val="20"/>
                  <w:szCs w:val="20"/>
                </w:rPr>
                <w:t>projets d’intérêt communs</w:t>
              </w:r>
            </w:hyperlink>
            <w:r w:rsidRPr="002E75E0">
              <w:rPr>
                <w:sz w:val="20"/>
                <w:szCs w:val="20"/>
              </w:rPr>
              <w:t>.</w:t>
            </w:r>
          </w:p>
        </w:tc>
        <w:tc>
          <w:tcPr>
            <w:tcW w:w="0" w:type="dxa"/>
          </w:tcPr>
          <w:p w14:paraId="158E1949" w14:textId="77777777" w:rsidR="00AC01D6" w:rsidRPr="002E75E0" w:rsidRDefault="00AC01D6" w:rsidP="00EA0E8A">
            <w:p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lastRenderedPageBreak/>
              <w:t xml:space="preserve">Projets réduisant </w:t>
            </w:r>
            <w:proofErr w:type="gramStart"/>
            <w:r w:rsidRPr="002E75E0">
              <w:rPr>
                <w:sz w:val="20"/>
                <w:szCs w:val="20"/>
              </w:rPr>
              <w:t>les émissions carbone</w:t>
            </w:r>
            <w:proofErr w:type="gramEnd"/>
            <w:r w:rsidRPr="002E75E0">
              <w:rPr>
                <w:sz w:val="20"/>
                <w:szCs w:val="20"/>
              </w:rPr>
              <w:t xml:space="preserve">, </w:t>
            </w:r>
            <w:r w:rsidRPr="002E75E0">
              <w:rPr>
                <w:sz w:val="20"/>
                <w:szCs w:val="20"/>
              </w:rPr>
              <w:lastRenderedPageBreak/>
              <w:t>accroissant l’efficacité énergétique et stimulant l’innovation numérique et technologique :</w:t>
            </w:r>
          </w:p>
          <w:p w14:paraId="076CD0FA" w14:textId="77777777" w:rsidR="00AC01D6" w:rsidRPr="002E75E0" w:rsidRDefault="00AC01D6" w:rsidP="00AC01D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t>Projets propres : carburants de substitution, nouveaux véhicules et stations.</w:t>
            </w:r>
          </w:p>
          <w:p w14:paraId="7499B6EC" w14:textId="77777777" w:rsidR="00AC01D6" w:rsidRPr="002E75E0" w:rsidRDefault="00AC01D6" w:rsidP="00AC01D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t>Projets numériques</w:t>
            </w:r>
          </w:p>
          <w:p w14:paraId="480B6D1A" w14:textId="77777777" w:rsidR="00AC01D6" w:rsidRPr="002E75E0" w:rsidRDefault="00AC01D6" w:rsidP="00AC01D6">
            <w:pPr>
              <w:pStyle w:val="Paragraphedeliste"/>
              <w:numPr>
                <w:ilvl w:val="0"/>
                <w:numId w:val="33"/>
              </w:numPr>
              <w:cnfStyle w:val="000000000000" w:firstRow="0" w:lastRow="0" w:firstColumn="0" w:lastColumn="0" w:oddVBand="0" w:evenVBand="0" w:oddHBand="0" w:evenHBand="0" w:firstRowFirstColumn="0" w:firstRowLastColumn="0" w:lastRowFirstColumn="0" w:lastRowLastColumn="0"/>
              <w:rPr>
                <w:sz w:val="20"/>
                <w:szCs w:val="20"/>
              </w:rPr>
            </w:pPr>
            <w:r w:rsidRPr="002E75E0">
              <w:rPr>
                <w:sz w:val="20"/>
                <w:szCs w:val="20"/>
              </w:rPr>
              <w:t>Projets automatisés</w:t>
            </w:r>
          </w:p>
        </w:tc>
      </w:tr>
      <w:tr w:rsidR="00AC01D6" w14:paraId="7FA23D40" w14:textId="77777777" w:rsidTr="003D35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EF605D5" w14:textId="77777777" w:rsidR="00AC01D6" w:rsidRPr="002E75E0" w:rsidRDefault="00AC01D6" w:rsidP="00EA0E8A">
            <w:r w:rsidRPr="002E75E0">
              <w:lastRenderedPageBreak/>
              <w:t>Contact</w:t>
            </w:r>
          </w:p>
        </w:tc>
        <w:tc>
          <w:tcPr>
            <w:tcW w:w="2411" w:type="dxa"/>
          </w:tcPr>
          <w:p w14:paraId="7F4A8907" w14:textId="77777777" w:rsidR="00AC01D6" w:rsidRPr="002E75E0" w:rsidRDefault="000839EC" w:rsidP="00EA0E8A">
            <w:pPr>
              <w:cnfStyle w:val="000000100000" w:firstRow="0" w:lastRow="0" w:firstColumn="0" w:lastColumn="0" w:oddVBand="0" w:evenVBand="0" w:oddHBand="1" w:evenHBand="0" w:firstRowFirstColumn="0" w:firstRowLastColumn="0" w:lastRowFirstColumn="0" w:lastRowLastColumn="0"/>
              <w:rPr>
                <w:sz w:val="20"/>
                <w:szCs w:val="20"/>
              </w:rPr>
            </w:pPr>
            <w:hyperlink r:id="rId49" w:history="1">
              <w:r w:rsidR="00AC01D6" w:rsidRPr="002E75E0">
                <w:rPr>
                  <w:rStyle w:val="Lienhypertexte"/>
                  <w:sz w:val="20"/>
                  <w:szCs w:val="20"/>
                </w:rPr>
                <w:t>Bureau d’information</w:t>
              </w:r>
            </w:hyperlink>
          </w:p>
        </w:tc>
        <w:tc>
          <w:tcPr>
            <w:tcW w:w="2268" w:type="dxa"/>
          </w:tcPr>
          <w:p w14:paraId="6977CAC6" w14:textId="77777777" w:rsidR="00AC01D6" w:rsidRPr="002E75E0" w:rsidRDefault="000839EC" w:rsidP="00EA0E8A">
            <w:pPr>
              <w:cnfStyle w:val="000000100000" w:firstRow="0" w:lastRow="0" w:firstColumn="0" w:lastColumn="0" w:oddVBand="0" w:evenVBand="0" w:oddHBand="1" w:evenHBand="0" w:firstRowFirstColumn="0" w:firstRowLastColumn="0" w:lastRowFirstColumn="0" w:lastRowLastColumn="0"/>
              <w:rPr>
                <w:sz w:val="20"/>
                <w:szCs w:val="20"/>
              </w:rPr>
            </w:pPr>
            <w:hyperlink r:id="rId50" w:history="1">
              <w:r w:rsidR="00AC01D6" w:rsidRPr="002E75E0">
                <w:rPr>
                  <w:rStyle w:val="Lienhypertexte"/>
                  <w:sz w:val="20"/>
                  <w:szCs w:val="20"/>
                </w:rPr>
                <w:t>Bureau d’information</w:t>
              </w:r>
            </w:hyperlink>
          </w:p>
        </w:tc>
        <w:tc>
          <w:tcPr>
            <w:tcW w:w="2582" w:type="dxa"/>
          </w:tcPr>
          <w:p w14:paraId="33AB0A3D" w14:textId="77777777" w:rsidR="00AC01D6" w:rsidRPr="002E75E0" w:rsidRDefault="000839EC" w:rsidP="00EA0E8A">
            <w:pPr>
              <w:cnfStyle w:val="000000100000" w:firstRow="0" w:lastRow="0" w:firstColumn="0" w:lastColumn="0" w:oddVBand="0" w:evenVBand="0" w:oddHBand="1" w:evenHBand="0" w:firstRowFirstColumn="0" w:firstRowLastColumn="0" w:lastRowFirstColumn="0" w:lastRowLastColumn="0"/>
              <w:rPr>
                <w:sz w:val="20"/>
                <w:szCs w:val="20"/>
              </w:rPr>
            </w:pPr>
            <w:hyperlink r:id="rId51" w:history="1">
              <w:r w:rsidR="00AC01D6" w:rsidRPr="002E75E0">
                <w:rPr>
                  <w:rStyle w:val="Lienhypertexte"/>
                  <w:sz w:val="20"/>
                  <w:szCs w:val="20"/>
                </w:rPr>
                <w:t>Bureau d’information</w:t>
              </w:r>
            </w:hyperlink>
          </w:p>
        </w:tc>
        <w:tc>
          <w:tcPr>
            <w:tcW w:w="0" w:type="dxa"/>
          </w:tcPr>
          <w:p w14:paraId="43B486C0" w14:textId="77777777" w:rsidR="00AC01D6" w:rsidRPr="002E75E0" w:rsidRDefault="00AC01D6" w:rsidP="00EA0E8A">
            <w:pPr>
              <w:cnfStyle w:val="000000100000" w:firstRow="0" w:lastRow="0" w:firstColumn="0" w:lastColumn="0" w:oddVBand="0" w:evenVBand="0" w:oddHBand="1" w:evenHBand="0" w:firstRowFirstColumn="0" w:firstRowLastColumn="0" w:lastRowFirstColumn="0" w:lastRowLastColumn="0"/>
              <w:rPr>
                <w:sz w:val="20"/>
                <w:szCs w:val="20"/>
              </w:rPr>
            </w:pPr>
            <w:r w:rsidRPr="002E75E0">
              <w:rPr>
                <w:sz w:val="20"/>
                <w:szCs w:val="20"/>
              </w:rPr>
              <w:t xml:space="preserve">Équipe dédiée : </w:t>
            </w:r>
            <w:hyperlink r:id="rId52" w:history="1">
              <w:r w:rsidRPr="002E75E0">
                <w:rPr>
                  <w:rStyle w:val="Lienhypertexte"/>
                  <w:sz w:val="20"/>
                  <w:szCs w:val="20"/>
                </w:rPr>
                <w:t>futuremobility@eib.org</w:t>
              </w:r>
            </w:hyperlink>
            <w:r w:rsidRPr="002E75E0">
              <w:rPr>
                <w:sz w:val="20"/>
                <w:szCs w:val="20"/>
              </w:rPr>
              <w:t xml:space="preserve"> </w:t>
            </w:r>
          </w:p>
        </w:tc>
      </w:tr>
    </w:tbl>
    <w:p w14:paraId="0E14C7B9" w14:textId="77777777" w:rsidR="00AC01D6" w:rsidRDefault="00AC01D6" w:rsidP="00AC01D6"/>
    <w:p w14:paraId="4E3EC744" w14:textId="77777777" w:rsidR="00AC01D6" w:rsidRDefault="00AC01D6" w:rsidP="00AC01D6">
      <w:pPr>
        <w:pStyle w:val="Paragraphedeliste"/>
        <w:numPr>
          <w:ilvl w:val="0"/>
          <w:numId w:val="11"/>
        </w:numPr>
        <w:jc w:val="both"/>
      </w:pPr>
      <w:r>
        <w:t xml:space="preserve">Pour prendre connaissance d’exemples de projets financés en 2020, consultez </w:t>
      </w:r>
      <w:hyperlink r:id="rId53" w:history="1">
        <w:r w:rsidRPr="000A62BF">
          <w:rPr>
            <w:rStyle w:val="Lienhypertexte"/>
          </w:rPr>
          <w:t>cette page</w:t>
        </w:r>
      </w:hyperlink>
      <w:r>
        <w:t>.</w:t>
      </w:r>
    </w:p>
    <w:p w14:paraId="596F6B58" w14:textId="77777777" w:rsidR="00AC01D6" w:rsidRDefault="00AC01D6" w:rsidP="00AC01D6">
      <w:pPr>
        <w:pStyle w:val="Paragraphedeliste"/>
        <w:numPr>
          <w:ilvl w:val="0"/>
          <w:numId w:val="11"/>
        </w:numPr>
        <w:jc w:val="both"/>
      </w:pPr>
      <w:r>
        <w:t xml:space="preserve">Pour plus d’informations et initier des démarches, vous pouvez utiliser les contacts fournis dans le tableau ci-dessus ainsi que </w:t>
      </w:r>
      <w:hyperlink r:id="rId54" w:history="1">
        <w:r w:rsidRPr="00FA7AFA">
          <w:rPr>
            <w:rStyle w:val="Lienhypertexte"/>
          </w:rPr>
          <w:t>le bureau local de la BEI en France</w:t>
        </w:r>
      </w:hyperlink>
      <w:r>
        <w:rPr>
          <w:rStyle w:val="Lienhypertexte"/>
        </w:rPr>
        <w:t>.</w:t>
      </w:r>
    </w:p>
    <w:p w14:paraId="22760189" w14:textId="77777777" w:rsidR="00AC01D6" w:rsidRDefault="00AC01D6" w:rsidP="00AC01D6">
      <w:pPr>
        <w:pStyle w:val="Paragraphedeliste"/>
        <w:ind w:left="360"/>
      </w:pPr>
    </w:p>
    <w:p w14:paraId="2425B432" w14:textId="77777777" w:rsidR="00AC01D6" w:rsidRDefault="00AC01D6" w:rsidP="00AC01D6"/>
    <w:p w14:paraId="557EAA52" w14:textId="77777777" w:rsidR="00AC01D6" w:rsidRPr="004F2DF1" w:rsidRDefault="00AC01D6" w:rsidP="00AC01D6">
      <w:pPr>
        <w:pStyle w:val="Style1"/>
        <w:numPr>
          <w:ilvl w:val="0"/>
          <w:numId w:val="0"/>
        </w:numPr>
        <w:jc w:val="center"/>
        <w:rPr>
          <w:i w:val="0"/>
          <w:iCs w:val="0"/>
          <w:color w:val="auto"/>
          <w:sz w:val="22"/>
          <w:szCs w:val="22"/>
          <w:u w:val="single"/>
        </w:rPr>
      </w:pPr>
      <w:proofErr w:type="spellStart"/>
      <w:r w:rsidRPr="004F2DF1">
        <w:rPr>
          <w:i w:val="0"/>
          <w:iCs w:val="0"/>
          <w:color w:val="auto"/>
          <w:sz w:val="22"/>
          <w:szCs w:val="22"/>
          <w:u w:val="single"/>
        </w:rPr>
        <w:t>InnovFin</w:t>
      </w:r>
      <w:proofErr w:type="spellEnd"/>
      <w:r w:rsidRPr="004F2DF1">
        <w:rPr>
          <w:i w:val="0"/>
          <w:iCs w:val="0"/>
          <w:color w:val="auto"/>
          <w:sz w:val="22"/>
          <w:szCs w:val="22"/>
          <w:u w:val="single"/>
        </w:rPr>
        <w:t xml:space="preserve"> </w:t>
      </w:r>
      <w:proofErr w:type="spellStart"/>
      <w:r w:rsidRPr="004F2DF1">
        <w:rPr>
          <w:i w:val="0"/>
          <w:iCs w:val="0"/>
          <w:color w:val="auto"/>
          <w:sz w:val="22"/>
          <w:szCs w:val="22"/>
          <w:u w:val="single"/>
        </w:rPr>
        <w:t>Energy</w:t>
      </w:r>
      <w:proofErr w:type="spellEnd"/>
      <w:r w:rsidRPr="004F2DF1">
        <w:rPr>
          <w:i w:val="0"/>
          <w:iCs w:val="0"/>
          <w:color w:val="auto"/>
          <w:sz w:val="22"/>
          <w:szCs w:val="22"/>
          <w:u w:val="single"/>
        </w:rPr>
        <w:t xml:space="preserve"> </w:t>
      </w:r>
      <w:proofErr w:type="spellStart"/>
      <w:r w:rsidRPr="004F2DF1">
        <w:rPr>
          <w:i w:val="0"/>
          <w:iCs w:val="0"/>
          <w:color w:val="auto"/>
          <w:sz w:val="22"/>
          <w:szCs w:val="22"/>
          <w:u w:val="single"/>
        </w:rPr>
        <w:t>Demo</w:t>
      </w:r>
      <w:proofErr w:type="spellEnd"/>
      <w:r w:rsidRPr="004F2DF1">
        <w:rPr>
          <w:i w:val="0"/>
          <w:iCs w:val="0"/>
          <w:color w:val="auto"/>
          <w:sz w:val="22"/>
          <w:szCs w:val="22"/>
          <w:u w:val="single"/>
        </w:rPr>
        <w:t xml:space="preserve"> </w:t>
      </w:r>
      <w:proofErr w:type="spellStart"/>
      <w:r w:rsidRPr="004F2DF1">
        <w:rPr>
          <w:i w:val="0"/>
          <w:iCs w:val="0"/>
          <w:color w:val="auto"/>
          <w:sz w:val="22"/>
          <w:szCs w:val="22"/>
          <w:u w:val="single"/>
        </w:rPr>
        <w:t>Projects</w:t>
      </w:r>
      <w:proofErr w:type="spellEnd"/>
      <w:r w:rsidRPr="004F2DF1">
        <w:rPr>
          <w:i w:val="0"/>
          <w:iCs w:val="0"/>
          <w:color w:val="auto"/>
          <w:sz w:val="22"/>
          <w:szCs w:val="22"/>
          <w:u w:val="single"/>
        </w:rPr>
        <w:t xml:space="preserve"> – le financement de l’innovation</w:t>
      </w:r>
      <w:r>
        <w:rPr>
          <w:i w:val="0"/>
          <w:iCs w:val="0"/>
          <w:color w:val="auto"/>
          <w:sz w:val="22"/>
          <w:szCs w:val="22"/>
          <w:u w:val="single"/>
        </w:rPr>
        <w:t xml:space="preserve"> dans le domaine de l’énergie</w:t>
      </w:r>
    </w:p>
    <w:bookmarkEnd w:id="0"/>
    <w:p w14:paraId="7758E28E" w14:textId="77777777" w:rsidR="00AC01D6" w:rsidRDefault="00AC01D6" w:rsidP="00AC01D6">
      <w:pPr>
        <w:pStyle w:val="Paragraphedeliste"/>
        <w:ind w:left="360"/>
        <w:jc w:val="center"/>
      </w:pPr>
      <w:r>
        <w:t>NB : ce dispositif géré par la BEI a vocation à intégrer InvestEU</w:t>
      </w:r>
    </w:p>
    <w:p w14:paraId="27F84877" w14:textId="77777777" w:rsidR="00223ADB" w:rsidRDefault="00223ADB" w:rsidP="00EC63AD">
      <w:pPr>
        <w:jc w:val="both"/>
      </w:pPr>
    </w:p>
    <w:p w14:paraId="7B00BFD7" w14:textId="77777777" w:rsidR="00AC01D6" w:rsidRDefault="00AC01D6" w:rsidP="00AC01D6">
      <w:pPr>
        <w:pStyle w:val="Paragraphedeliste"/>
        <w:numPr>
          <w:ilvl w:val="0"/>
          <w:numId w:val="35"/>
        </w:numPr>
        <w:jc w:val="both"/>
      </w:pPr>
      <w:r>
        <w:t xml:space="preserve">Le dispositif InnovFin propose plusieurs </w:t>
      </w:r>
      <w:r w:rsidRPr="00024BA9">
        <w:rPr>
          <w:b/>
          <w:bCs/>
        </w:rPr>
        <w:t>outils de financement de l’innovation</w:t>
      </w:r>
      <w:r>
        <w:t>.</w:t>
      </w:r>
    </w:p>
    <w:p w14:paraId="66CC874D" w14:textId="77777777" w:rsidR="00AC01D6" w:rsidRDefault="00AC01D6" w:rsidP="00AC01D6">
      <w:pPr>
        <w:pStyle w:val="Paragraphedeliste"/>
        <w:numPr>
          <w:ilvl w:val="0"/>
          <w:numId w:val="35"/>
        </w:numPr>
        <w:jc w:val="both"/>
      </w:pPr>
      <w:r>
        <w:t xml:space="preserve">Il a été lancé avec le programme Horizon 2020 et a désormais vocation à être intégré dans le programme </w:t>
      </w:r>
      <w:hyperlink r:id="rId55" w:history="1">
        <w:r w:rsidRPr="00024BA9">
          <w:rPr>
            <w:rStyle w:val="Lienhypertexte"/>
          </w:rPr>
          <w:t>InvestEU</w:t>
        </w:r>
      </w:hyperlink>
      <w:r>
        <w:t>.</w:t>
      </w:r>
    </w:p>
    <w:p w14:paraId="4F6F79E7" w14:textId="77777777" w:rsidR="00AC01D6" w:rsidRDefault="00AC01D6" w:rsidP="00AC01D6">
      <w:pPr>
        <w:pStyle w:val="Paragraphedeliste"/>
        <w:numPr>
          <w:ilvl w:val="0"/>
          <w:numId w:val="35"/>
        </w:numPr>
        <w:jc w:val="both"/>
      </w:pPr>
      <w:r>
        <w:t xml:space="preserve">Il comporte de </w:t>
      </w:r>
      <w:hyperlink r:id="rId56" w:history="1">
        <w:r w:rsidRPr="00024BA9">
          <w:rPr>
            <w:rStyle w:val="Lienhypertexte"/>
          </w:rPr>
          <w:t>nombreuses composantes</w:t>
        </w:r>
      </w:hyperlink>
      <w:r>
        <w:t xml:space="preserve">, dont une </w:t>
      </w:r>
      <w:r w:rsidRPr="00522837">
        <w:rPr>
          <w:b/>
          <w:bCs/>
        </w:rPr>
        <w:t>dédiée aux projets de démonstration liés à l’énergie</w:t>
      </w:r>
      <w:r>
        <w:t xml:space="preserve">, </w:t>
      </w:r>
      <w:hyperlink r:id="rId57" w:history="1">
        <w:proofErr w:type="spellStart"/>
        <w:r w:rsidRPr="00024BA9">
          <w:rPr>
            <w:rStyle w:val="Lienhypertexte"/>
          </w:rPr>
          <w:t>InnovFin</w:t>
        </w:r>
        <w:proofErr w:type="spellEnd"/>
        <w:r w:rsidRPr="00024BA9">
          <w:rPr>
            <w:rStyle w:val="Lienhypertexte"/>
          </w:rPr>
          <w:t xml:space="preserve"> </w:t>
        </w:r>
        <w:proofErr w:type="spellStart"/>
        <w:r w:rsidRPr="00024BA9">
          <w:rPr>
            <w:rStyle w:val="Lienhypertexte"/>
          </w:rPr>
          <w:t>Energy</w:t>
        </w:r>
        <w:proofErr w:type="spellEnd"/>
        <w:r w:rsidRPr="00024BA9">
          <w:rPr>
            <w:rStyle w:val="Lienhypertexte"/>
          </w:rPr>
          <w:t xml:space="preserve"> </w:t>
        </w:r>
        <w:proofErr w:type="spellStart"/>
        <w:r w:rsidRPr="00024BA9">
          <w:rPr>
            <w:rStyle w:val="Lienhypertexte"/>
          </w:rPr>
          <w:t>Demo</w:t>
        </w:r>
        <w:proofErr w:type="spellEnd"/>
        <w:r w:rsidRPr="00024BA9">
          <w:rPr>
            <w:rStyle w:val="Lienhypertexte"/>
          </w:rPr>
          <w:t xml:space="preserve"> </w:t>
        </w:r>
        <w:proofErr w:type="spellStart"/>
        <w:r w:rsidRPr="00024BA9">
          <w:rPr>
            <w:rStyle w:val="Lienhypertexte"/>
          </w:rPr>
          <w:t>Projects</w:t>
        </w:r>
        <w:proofErr w:type="spellEnd"/>
      </w:hyperlink>
      <w:r>
        <w:t xml:space="preserve">, qui finance des projets de démonstration inédits et innovants en phase pré-commerciale qui contribuent à la transition énergétique. </w:t>
      </w:r>
      <w:r w:rsidRPr="00243BF3">
        <w:t>Le dispositif vise à combler le fossé entre les phases de démonstration et de commercialisation.</w:t>
      </w:r>
    </w:p>
    <w:p w14:paraId="02A46019" w14:textId="77777777" w:rsidR="00AC01D6" w:rsidRDefault="00AC01D6" w:rsidP="00AC01D6">
      <w:pPr>
        <w:jc w:val="both"/>
      </w:pPr>
    </w:p>
    <w:tbl>
      <w:tblPr>
        <w:tblStyle w:val="Grilledutableau"/>
        <w:tblW w:w="9918" w:type="dxa"/>
        <w:tblLook w:val="04A0" w:firstRow="1" w:lastRow="0" w:firstColumn="1" w:lastColumn="0" w:noHBand="0" w:noVBand="1"/>
      </w:tblPr>
      <w:tblGrid>
        <w:gridCol w:w="3823"/>
        <w:gridCol w:w="6095"/>
      </w:tblGrid>
      <w:tr w:rsidR="00AC01D6" w:rsidRPr="005513A2" w14:paraId="6F7B43AC" w14:textId="77777777" w:rsidTr="00EA0E8A">
        <w:tc>
          <w:tcPr>
            <w:tcW w:w="9918" w:type="dxa"/>
            <w:gridSpan w:val="2"/>
            <w:shd w:val="clear" w:color="auto" w:fill="5F497A" w:themeFill="accent4" w:themeFillShade="BF"/>
          </w:tcPr>
          <w:p w14:paraId="77075600" w14:textId="77777777" w:rsidR="00AC01D6" w:rsidRPr="005513A2" w:rsidRDefault="00AC01D6" w:rsidP="00EA0E8A">
            <w:pPr>
              <w:jc w:val="center"/>
              <w:rPr>
                <w:b/>
                <w:bCs/>
                <w:color w:val="FFFFFF" w:themeColor="background1"/>
              </w:rPr>
            </w:pPr>
            <w:r>
              <w:rPr>
                <w:b/>
                <w:bCs/>
                <w:color w:val="FFFFFF" w:themeColor="background1"/>
              </w:rPr>
              <w:t>Caractéristiques clefs</w:t>
            </w:r>
          </w:p>
        </w:tc>
      </w:tr>
      <w:tr w:rsidR="00AC01D6" w:rsidRPr="00AB15DE" w14:paraId="1E87379D" w14:textId="77777777" w:rsidTr="005B2BBF">
        <w:tc>
          <w:tcPr>
            <w:tcW w:w="3823" w:type="dxa"/>
            <w:shd w:val="clear" w:color="auto" w:fill="B2A1C7" w:themeFill="accent4" w:themeFillTint="99"/>
          </w:tcPr>
          <w:p w14:paraId="66E01033" w14:textId="77777777" w:rsidR="00AC01D6" w:rsidRDefault="00AC01D6" w:rsidP="00EA0E8A">
            <w:pPr>
              <w:rPr>
                <w:b/>
                <w:bCs/>
                <w:sz w:val="24"/>
                <w:szCs w:val="24"/>
                <w:u w:val="single"/>
              </w:rPr>
            </w:pPr>
            <w:r>
              <w:rPr>
                <w:b/>
                <w:bCs/>
              </w:rPr>
              <w:t>Type de projet attendu</w:t>
            </w:r>
          </w:p>
        </w:tc>
        <w:tc>
          <w:tcPr>
            <w:tcW w:w="6095" w:type="dxa"/>
            <w:shd w:val="clear" w:color="auto" w:fill="B2A1C7" w:themeFill="accent4" w:themeFillTint="99"/>
          </w:tcPr>
          <w:p w14:paraId="3CDA51F7" w14:textId="77777777" w:rsidR="00AC01D6" w:rsidRDefault="00AC01D6" w:rsidP="00EA0E8A">
            <w:pPr>
              <w:rPr>
                <w:b/>
                <w:bCs/>
              </w:rPr>
            </w:pPr>
            <w:r>
              <w:rPr>
                <w:b/>
                <w:bCs/>
              </w:rPr>
              <w:t>Dispositions financières</w:t>
            </w:r>
          </w:p>
        </w:tc>
      </w:tr>
      <w:tr w:rsidR="00AC01D6" w:rsidRPr="00963E71" w14:paraId="1CE165F3" w14:textId="77777777" w:rsidTr="005B2BBF">
        <w:tc>
          <w:tcPr>
            <w:tcW w:w="3823" w:type="dxa"/>
          </w:tcPr>
          <w:p w14:paraId="446D556E" w14:textId="77777777" w:rsidR="00AC01D6" w:rsidRPr="00B918DD" w:rsidRDefault="00AC01D6" w:rsidP="00EA0E8A">
            <w:pPr>
              <w:rPr>
                <w:sz w:val="20"/>
                <w:szCs w:val="20"/>
              </w:rPr>
            </w:pPr>
            <w:r>
              <w:rPr>
                <w:sz w:val="20"/>
                <w:szCs w:val="20"/>
              </w:rPr>
              <w:t>P</w:t>
            </w:r>
            <w:r w:rsidRPr="00B918DD">
              <w:rPr>
                <w:sz w:val="20"/>
                <w:szCs w:val="20"/>
              </w:rPr>
              <w:t>rojets innovants de démonstration dans les domaines de la transformation du système énergétique, notamment :</w:t>
            </w:r>
          </w:p>
          <w:p w14:paraId="31733D2C" w14:textId="77777777" w:rsidR="00AC01D6" w:rsidRPr="00B918DD" w:rsidRDefault="00AC01D6" w:rsidP="00AC01D6">
            <w:pPr>
              <w:pStyle w:val="Paragraphedeliste"/>
              <w:numPr>
                <w:ilvl w:val="0"/>
                <w:numId w:val="35"/>
              </w:numPr>
              <w:rPr>
                <w:sz w:val="20"/>
                <w:szCs w:val="20"/>
              </w:rPr>
            </w:pPr>
            <w:r w:rsidRPr="00B918DD">
              <w:rPr>
                <w:sz w:val="20"/>
                <w:szCs w:val="20"/>
              </w:rPr>
              <w:t xml:space="preserve">Energies renouvelables, </w:t>
            </w:r>
          </w:p>
          <w:p w14:paraId="2CFE7D27" w14:textId="77777777" w:rsidR="00AC01D6" w:rsidRPr="00B918DD" w:rsidRDefault="00AC01D6" w:rsidP="00AC01D6">
            <w:pPr>
              <w:pStyle w:val="Paragraphedeliste"/>
              <w:numPr>
                <w:ilvl w:val="0"/>
                <w:numId w:val="35"/>
              </w:numPr>
              <w:rPr>
                <w:sz w:val="20"/>
                <w:szCs w:val="20"/>
              </w:rPr>
            </w:pPr>
            <w:r w:rsidRPr="00B918DD">
              <w:rPr>
                <w:sz w:val="20"/>
                <w:szCs w:val="20"/>
              </w:rPr>
              <w:t>Systèmes énergétiques intelligents,</w:t>
            </w:r>
          </w:p>
          <w:p w14:paraId="3A14158A" w14:textId="77777777" w:rsidR="00AC01D6" w:rsidRPr="00B918DD" w:rsidRDefault="00AC01D6" w:rsidP="00AC01D6">
            <w:pPr>
              <w:pStyle w:val="Paragraphedeliste"/>
              <w:numPr>
                <w:ilvl w:val="0"/>
                <w:numId w:val="35"/>
              </w:numPr>
              <w:rPr>
                <w:sz w:val="20"/>
                <w:szCs w:val="20"/>
              </w:rPr>
            </w:pPr>
            <w:r w:rsidRPr="00B918DD">
              <w:rPr>
                <w:sz w:val="20"/>
                <w:szCs w:val="20"/>
              </w:rPr>
              <w:t>Stockage de l’énergie,</w:t>
            </w:r>
          </w:p>
          <w:p w14:paraId="2F8B16D7" w14:textId="77777777" w:rsidR="00AC01D6" w:rsidRPr="00B918DD" w:rsidRDefault="00AC01D6" w:rsidP="00AC01D6">
            <w:pPr>
              <w:pStyle w:val="Paragraphedeliste"/>
              <w:numPr>
                <w:ilvl w:val="0"/>
                <w:numId w:val="35"/>
              </w:numPr>
              <w:rPr>
                <w:sz w:val="20"/>
                <w:szCs w:val="20"/>
              </w:rPr>
            </w:pPr>
            <w:r w:rsidRPr="00B918DD">
              <w:rPr>
                <w:sz w:val="20"/>
                <w:szCs w:val="20"/>
              </w:rPr>
              <w:t>Captage et stockage ou utilisation de carbone.</w:t>
            </w:r>
          </w:p>
        </w:tc>
        <w:tc>
          <w:tcPr>
            <w:tcW w:w="6095" w:type="dxa"/>
          </w:tcPr>
          <w:p w14:paraId="05F8096E" w14:textId="77777777" w:rsidR="00AC01D6" w:rsidRPr="005C0A79" w:rsidRDefault="00AC01D6" w:rsidP="00AC01D6">
            <w:pPr>
              <w:pStyle w:val="Paragraphedeliste"/>
              <w:numPr>
                <w:ilvl w:val="0"/>
                <w:numId w:val="35"/>
              </w:numPr>
              <w:rPr>
                <w:sz w:val="20"/>
                <w:szCs w:val="20"/>
              </w:rPr>
            </w:pPr>
            <w:r w:rsidRPr="005C0A79">
              <w:rPr>
                <w:sz w:val="20"/>
                <w:szCs w:val="20"/>
              </w:rPr>
              <w:t>Type de financement :</w:t>
            </w:r>
          </w:p>
          <w:p w14:paraId="178E73D7" w14:textId="77777777" w:rsidR="00AC01D6" w:rsidRPr="005C0A79" w:rsidRDefault="00AC01D6" w:rsidP="00AC01D6">
            <w:pPr>
              <w:pStyle w:val="Paragraphedeliste"/>
              <w:numPr>
                <w:ilvl w:val="1"/>
                <w:numId w:val="35"/>
              </w:numPr>
              <w:rPr>
                <w:sz w:val="20"/>
                <w:szCs w:val="20"/>
              </w:rPr>
            </w:pPr>
            <w:r w:rsidRPr="005C0A79">
              <w:rPr>
                <w:sz w:val="20"/>
                <w:szCs w:val="20"/>
              </w:rPr>
              <w:t>Prêts</w:t>
            </w:r>
          </w:p>
          <w:p w14:paraId="4EFEBF65" w14:textId="77777777" w:rsidR="00AC01D6" w:rsidRPr="005C0A79" w:rsidRDefault="00AC01D6" w:rsidP="00AC01D6">
            <w:pPr>
              <w:pStyle w:val="Paragraphedeliste"/>
              <w:numPr>
                <w:ilvl w:val="1"/>
                <w:numId w:val="35"/>
              </w:numPr>
              <w:rPr>
                <w:sz w:val="20"/>
                <w:szCs w:val="20"/>
              </w:rPr>
            </w:pPr>
            <w:r w:rsidRPr="005C0A79">
              <w:rPr>
                <w:sz w:val="20"/>
                <w:szCs w:val="20"/>
              </w:rPr>
              <w:t>Garanties</w:t>
            </w:r>
          </w:p>
          <w:p w14:paraId="1E0159B0" w14:textId="77777777" w:rsidR="00AC01D6" w:rsidRPr="005C0A79" w:rsidRDefault="00AC01D6" w:rsidP="00AC01D6">
            <w:pPr>
              <w:pStyle w:val="Paragraphedeliste"/>
              <w:numPr>
                <w:ilvl w:val="1"/>
                <w:numId w:val="35"/>
              </w:numPr>
              <w:rPr>
                <w:sz w:val="20"/>
                <w:szCs w:val="20"/>
              </w:rPr>
            </w:pPr>
            <w:r w:rsidRPr="005C0A79">
              <w:rPr>
                <w:sz w:val="20"/>
                <w:szCs w:val="20"/>
              </w:rPr>
              <w:t xml:space="preserve">Apports </w:t>
            </w:r>
            <w:r>
              <w:rPr>
                <w:sz w:val="20"/>
                <w:szCs w:val="20"/>
              </w:rPr>
              <w:t>en</w:t>
            </w:r>
            <w:r w:rsidRPr="005C0A79">
              <w:rPr>
                <w:sz w:val="20"/>
                <w:szCs w:val="20"/>
              </w:rPr>
              <w:t xml:space="preserve"> fonds propres</w:t>
            </w:r>
          </w:p>
          <w:p w14:paraId="34DA802B" w14:textId="77777777" w:rsidR="00AC01D6" w:rsidRPr="005C0A79" w:rsidRDefault="00AC01D6" w:rsidP="00AC01D6">
            <w:pPr>
              <w:pStyle w:val="Paragraphedeliste"/>
              <w:numPr>
                <w:ilvl w:val="0"/>
                <w:numId w:val="35"/>
              </w:numPr>
              <w:rPr>
                <w:sz w:val="20"/>
                <w:szCs w:val="20"/>
              </w:rPr>
            </w:pPr>
            <w:r w:rsidRPr="005C0A79">
              <w:rPr>
                <w:sz w:val="20"/>
                <w:szCs w:val="20"/>
              </w:rPr>
              <w:t>Durée : 15 ans maximum</w:t>
            </w:r>
          </w:p>
          <w:p w14:paraId="3D73B32F" w14:textId="77777777" w:rsidR="00AC01D6" w:rsidRPr="005C0A79" w:rsidRDefault="00AC01D6" w:rsidP="00AC01D6">
            <w:pPr>
              <w:pStyle w:val="Paragraphedeliste"/>
              <w:numPr>
                <w:ilvl w:val="0"/>
                <w:numId w:val="35"/>
              </w:numPr>
              <w:rPr>
                <w:sz w:val="20"/>
                <w:szCs w:val="20"/>
              </w:rPr>
            </w:pPr>
            <w:r w:rsidRPr="005C0A79">
              <w:rPr>
                <w:sz w:val="20"/>
                <w:szCs w:val="20"/>
              </w:rPr>
              <w:t>Montant de l’appui financier de la BEI : entre 7,5M€ et 75M€</w:t>
            </w:r>
          </w:p>
          <w:p w14:paraId="1AADE971" w14:textId="77777777" w:rsidR="00AC01D6" w:rsidRPr="005C0A79" w:rsidRDefault="00AC01D6" w:rsidP="00AC01D6">
            <w:pPr>
              <w:pStyle w:val="Paragraphedeliste"/>
              <w:numPr>
                <w:ilvl w:val="0"/>
                <w:numId w:val="35"/>
              </w:numPr>
              <w:rPr>
                <w:sz w:val="20"/>
                <w:szCs w:val="20"/>
              </w:rPr>
            </w:pPr>
            <w:r w:rsidRPr="005C0A79">
              <w:rPr>
                <w:sz w:val="20"/>
                <w:szCs w:val="20"/>
              </w:rPr>
              <w:t>Le financement de la BEI ne pourra pas dépasser 50 % du coût total admissible du projet, qui comprend l’ensemble des coûts nécessaires pour réussir la démonstration de la technologie, du service, du procédé de fabrication ou du processus opérationnel.</w:t>
            </w:r>
          </w:p>
        </w:tc>
      </w:tr>
    </w:tbl>
    <w:p w14:paraId="0E10E336" w14:textId="77777777" w:rsidR="00AC01D6" w:rsidRDefault="00AC01D6" w:rsidP="00AC01D6">
      <w:pPr>
        <w:jc w:val="both"/>
      </w:pPr>
    </w:p>
    <w:p w14:paraId="38E9507B" w14:textId="77777777" w:rsidR="00AC01D6" w:rsidRPr="003B06C1" w:rsidRDefault="00AC01D6" w:rsidP="00AC01D6">
      <w:pPr>
        <w:pStyle w:val="Paragraphedeliste"/>
        <w:numPr>
          <w:ilvl w:val="0"/>
          <w:numId w:val="35"/>
        </w:numPr>
        <w:jc w:val="both"/>
      </w:pPr>
      <w:r w:rsidRPr="003B06C1">
        <w:t xml:space="preserve">Le projet doit </w:t>
      </w:r>
      <w:r w:rsidRPr="003B06C1">
        <w:rPr>
          <w:b/>
          <w:bCs/>
        </w:rPr>
        <w:t>démontrer la</w:t>
      </w:r>
      <w:r w:rsidRPr="003B06C1">
        <w:t xml:space="preserve"> </w:t>
      </w:r>
      <w:r w:rsidRPr="003B06C1">
        <w:rPr>
          <w:b/>
          <w:bCs/>
        </w:rPr>
        <w:t>viabilité commerciale de technologies ou de services</w:t>
      </w:r>
      <w:r w:rsidRPr="003B06C1">
        <w:t xml:space="preserve"> en phase pré-commerciale ou renforcer la compétitivité des procédés de fabrication.</w:t>
      </w:r>
    </w:p>
    <w:p w14:paraId="69C14B8F" w14:textId="77777777" w:rsidR="00AC01D6" w:rsidRPr="003B06C1" w:rsidRDefault="00AC01D6" w:rsidP="00AC01D6">
      <w:pPr>
        <w:pStyle w:val="Paragraphedeliste"/>
        <w:numPr>
          <w:ilvl w:val="0"/>
          <w:numId w:val="35"/>
        </w:numPr>
        <w:jc w:val="both"/>
      </w:pPr>
      <w:r w:rsidRPr="003B06C1">
        <w:t xml:space="preserve">Le </w:t>
      </w:r>
      <w:r w:rsidRPr="003B06C1">
        <w:rPr>
          <w:b/>
          <w:bCs/>
        </w:rPr>
        <w:t>caractère innovant</w:t>
      </w:r>
      <w:r w:rsidRPr="003B06C1">
        <w:t xml:space="preserve"> du projet est essentiel : les technologies, le procédé, le produit ou le service doivent être nouveaux par rapport à ce qui est proposé sur le marché. L’innovation peut aussi résider dans l’application innovante d’une technologie existante ou la combinaison de plusieurs technologies existantes.</w:t>
      </w:r>
    </w:p>
    <w:p w14:paraId="377C94BA" w14:textId="006675CA" w:rsidR="00AC01D6" w:rsidRPr="003B06C1" w:rsidRDefault="00AC01D6" w:rsidP="00AC01D6">
      <w:pPr>
        <w:pStyle w:val="Paragraphedeliste"/>
        <w:numPr>
          <w:ilvl w:val="0"/>
          <w:numId w:val="35"/>
        </w:numPr>
        <w:jc w:val="both"/>
      </w:pPr>
      <w:r w:rsidRPr="003B06C1">
        <w:lastRenderedPageBreak/>
        <w:t xml:space="preserve">Le porteur de projet et les activités du projet doivent être situés </w:t>
      </w:r>
      <w:r w:rsidRPr="003B06C1">
        <w:rPr>
          <w:b/>
          <w:bCs/>
        </w:rPr>
        <w:t>sur le territoire de l’Union européenne</w:t>
      </w:r>
      <w:r w:rsidRPr="003B06C1">
        <w:t xml:space="preserve"> ou dans un pays associé au programme Horizon 2020</w:t>
      </w:r>
      <w:r w:rsidR="00452D25">
        <w:rPr>
          <w:rStyle w:val="Appelnotedebasdep"/>
        </w:rPr>
        <w:footnoteReference w:id="6"/>
      </w:r>
      <w:r w:rsidRPr="003B06C1">
        <w:t>.</w:t>
      </w:r>
    </w:p>
    <w:p w14:paraId="41626D00" w14:textId="77777777" w:rsidR="00AC01D6" w:rsidRPr="003B06C1" w:rsidRDefault="00AC01D6" w:rsidP="00AC01D6">
      <w:pPr>
        <w:pStyle w:val="Paragraphedeliste"/>
        <w:numPr>
          <w:ilvl w:val="0"/>
          <w:numId w:val="35"/>
        </w:numPr>
        <w:jc w:val="both"/>
      </w:pPr>
      <w:r w:rsidRPr="003B06C1">
        <w:t xml:space="preserve">Le projet doit pouvoir </w:t>
      </w:r>
      <w:r w:rsidRPr="003B06C1">
        <w:rPr>
          <w:b/>
          <w:bCs/>
        </w:rPr>
        <w:t>générer des recettes suffisantes</w:t>
      </w:r>
      <w:r w:rsidRPr="003B06C1">
        <w:t xml:space="preserve"> pour devenir bancable.</w:t>
      </w:r>
    </w:p>
    <w:p w14:paraId="77FC7323" w14:textId="77777777" w:rsidR="00AC01D6" w:rsidRPr="003B06C1" w:rsidRDefault="00AC01D6" w:rsidP="00AC01D6">
      <w:pPr>
        <w:pStyle w:val="Paragraphedeliste"/>
        <w:numPr>
          <w:ilvl w:val="0"/>
          <w:numId w:val="35"/>
        </w:numPr>
        <w:jc w:val="both"/>
      </w:pPr>
      <w:r w:rsidRPr="003B06C1">
        <w:t xml:space="preserve">Il est </w:t>
      </w:r>
      <w:r w:rsidRPr="003B06C1">
        <w:rPr>
          <w:b/>
          <w:bCs/>
        </w:rPr>
        <w:t>attendu du porteur de projet un large cofinancement du projet</w:t>
      </w:r>
      <w:r w:rsidRPr="003B06C1">
        <w:t>.</w:t>
      </w:r>
    </w:p>
    <w:p w14:paraId="2AD9F343" w14:textId="77777777" w:rsidR="00AC01D6" w:rsidRDefault="00AC01D6" w:rsidP="00AC01D6">
      <w:pPr>
        <w:pStyle w:val="Paragraphedeliste"/>
        <w:numPr>
          <w:ilvl w:val="0"/>
          <w:numId w:val="35"/>
        </w:numPr>
        <w:jc w:val="both"/>
      </w:pPr>
      <w:r w:rsidRPr="003B06C1">
        <w:t xml:space="preserve">Le </w:t>
      </w:r>
      <w:r w:rsidRPr="003B06C1">
        <w:rPr>
          <w:b/>
          <w:bCs/>
        </w:rPr>
        <w:t>projet doit pouvoir être reproduit ailleurs</w:t>
      </w:r>
      <w:r w:rsidRPr="003B06C1">
        <w:t xml:space="preserve"> avec des débouchés commerciaux convaincants</w:t>
      </w:r>
      <w:r w:rsidRPr="003064F0">
        <w:t xml:space="preserve"> et des perspectives de réductions de coûts.</w:t>
      </w:r>
    </w:p>
    <w:p w14:paraId="06561A66" w14:textId="77777777" w:rsidR="00AC01D6" w:rsidRDefault="00AC01D6" w:rsidP="00AC01D6">
      <w:pPr>
        <w:jc w:val="both"/>
      </w:pPr>
    </w:p>
    <w:tbl>
      <w:tblPr>
        <w:tblStyle w:val="Grilledutableau"/>
        <w:tblW w:w="9918" w:type="dxa"/>
        <w:tblLook w:val="04A0" w:firstRow="1" w:lastRow="0" w:firstColumn="1" w:lastColumn="0" w:noHBand="0" w:noVBand="1"/>
      </w:tblPr>
      <w:tblGrid>
        <w:gridCol w:w="2405"/>
        <w:gridCol w:w="7513"/>
      </w:tblGrid>
      <w:tr w:rsidR="00AC01D6" w:rsidRPr="00612BA5" w14:paraId="23BBD615" w14:textId="77777777" w:rsidTr="00EA0E8A">
        <w:tc>
          <w:tcPr>
            <w:tcW w:w="2405" w:type="dxa"/>
            <w:shd w:val="clear" w:color="auto" w:fill="5F497A" w:themeFill="accent4" w:themeFillShade="BF"/>
          </w:tcPr>
          <w:p w14:paraId="303F725A" w14:textId="77777777" w:rsidR="00AC01D6" w:rsidRPr="00646C64" w:rsidRDefault="00AC01D6" w:rsidP="00EA0E8A">
            <w:pPr>
              <w:jc w:val="both"/>
              <w:rPr>
                <w:b/>
                <w:bCs/>
                <w:color w:val="FFFFFF" w:themeColor="background1"/>
              </w:rPr>
            </w:pPr>
            <w:r>
              <w:rPr>
                <w:b/>
                <w:bCs/>
                <w:color w:val="FFFFFF" w:themeColor="background1"/>
              </w:rPr>
              <w:t>Pour recourir au dispositif</w:t>
            </w:r>
          </w:p>
        </w:tc>
        <w:tc>
          <w:tcPr>
            <w:tcW w:w="7513" w:type="dxa"/>
            <w:shd w:val="clear" w:color="auto" w:fill="auto"/>
          </w:tcPr>
          <w:p w14:paraId="0D12C27C" w14:textId="77777777" w:rsidR="00AC01D6" w:rsidRPr="003B06C1" w:rsidRDefault="00AC01D6" w:rsidP="00EA0E8A">
            <w:pPr>
              <w:jc w:val="both"/>
              <w:rPr>
                <w:sz w:val="20"/>
                <w:szCs w:val="20"/>
              </w:rPr>
            </w:pPr>
            <w:r w:rsidRPr="003B06C1">
              <w:rPr>
                <w:sz w:val="20"/>
                <w:szCs w:val="20"/>
              </w:rPr>
              <w:t xml:space="preserve">Pour introduire une demande auprès du dispositif, il est nécessaire de compléter un </w:t>
            </w:r>
            <w:hyperlink r:id="rId58" w:history="1">
              <w:r w:rsidRPr="003B06C1">
                <w:rPr>
                  <w:rStyle w:val="Lienhypertexte"/>
                  <w:sz w:val="20"/>
                  <w:szCs w:val="20"/>
                </w:rPr>
                <w:t>questionnaire d’éligibilité</w:t>
              </w:r>
            </w:hyperlink>
            <w:r w:rsidRPr="003B06C1">
              <w:rPr>
                <w:sz w:val="20"/>
                <w:szCs w:val="20"/>
              </w:rPr>
              <w:t>, de 10 à 15 pages, en anglais</w:t>
            </w:r>
            <w:r>
              <w:rPr>
                <w:sz w:val="20"/>
                <w:szCs w:val="20"/>
              </w:rPr>
              <w:t>,</w:t>
            </w:r>
            <w:r w:rsidRPr="003B06C1">
              <w:rPr>
                <w:sz w:val="20"/>
                <w:szCs w:val="20"/>
              </w:rPr>
              <w:t xml:space="preserve"> et de le transmettre à </w:t>
            </w:r>
            <w:hyperlink r:id="rId59" w:history="1">
              <w:r w:rsidRPr="003B06C1">
                <w:rPr>
                  <w:rStyle w:val="Lienhypertexte"/>
                  <w:sz w:val="20"/>
                  <w:szCs w:val="20"/>
                </w:rPr>
                <w:t>innovfinEDP@eib.org</w:t>
              </w:r>
            </w:hyperlink>
            <w:r w:rsidRPr="003B06C1">
              <w:rPr>
                <w:sz w:val="20"/>
                <w:szCs w:val="20"/>
              </w:rPr>
              <w:t>.</w:t>
            </w:r>
          </w:p>
        </w:tc>
      </w:tr>
    </w:tbl>
    <w:p w14:paraId="78109E98" w14:textId="77777777" w:rsidR="00AC01D6" w:rsidRDefault="00AC01D6" w:rsidP="00AC01D6">
      <w:pPr>
        <w:tabs>
          <w:tab w:val="left" w:pos="1307"/>
        </w:tabs>
        <w:jc w:val="both"/>
      </w:pPr>
    </w:p>
    <w:p w14:paraId="30A12B8D" w14:textId="77777777" w:rsidR="004F213A" w:rsidRPr="004F213A" w:rsidRDefault="004F213A" w:rsidP="004F213A">
      <w:pPr>
        <w:jc w:val="center"/>
        <w:rPr>
          <w:sz w:val="20"/>
          <w:szCs w:val="20"/>
          <w:lang w:val="en-US"/>
        </w:rPr>
      </w:pPr>
      <w:r>
        <w:rPr>
          <w:b/>
          <w:bCs/>
          <w:i/>
          <w:iCs/>
          <w:u w:val="single"/>
          <w:lang w:val="en-US"/>
        </w:rPr>
        <w:t>Natural Capital Financing Facility</w:t>
      </w:r>
      <w:r>
        <w:rPr>
          <w:b/>
          <w:bCs/>
          <w:u w:val="single"/>
          <w:lang w:val="en-US"/>
        </w:rPr>
        <w:t xml:space="preserve"> (NCFF)</w:t>
      </w:r>
    </w:p>
    <w:p w14:paraId="32107D4A" w14:textId="77777777" w:rsidR="004F213A" w:rsidRPr="004F213A" w:rsidRDefault="004F213A" w:rsidP="004F213A">
      <w:pPr>
        <w:jc w:val="center"/>
      </w:pPr>
      <w:r w:rsidRPr="004F213A">
        <w:t>Pour ce dispositif</w:t>
      </w:r>
      <w:r w:rsidR="00AC01D6">
        <w:t xml:space="preserve">, </w:t>
      </w:r>
      <w:r>
        <w:t>se référer à la fiche dédiée.</w:t>
      </w:r>
    </w:p>
    <w:p w14:paraId="3DA35B25" w14:textId="77777777" w:rsidR="004F213A" w:rsidRPr="004F213A" w:rsidRDefault="004F213A" w:rsidP="00EC63AD">
      <w:pPr>
        <w:jc w:val="both"/>
      </w:pPr>
    </w:p>
    <w:p w14:paraId="3EEC7D6C" w14:textId="77777777" w:rsidR="000C57F2" w:rsidRDefault="000C57F2" w:rsidP="000C57F2">
      <w:pPr>
        <w:pStyle w:val="Titre1"/>
        <w:ind w:firstLine="360"/>
      </w:pPr>
      <w:r>
        <w:t>Dispositifs de conseil et d’assistance</w:t>
      </w:r>
      <w:r w:rsidR="004E29A2">
        <w:t xml:space="preserve"> et financement de l’ingénierie de projets</w:t>
      </w:r>
    </w:p>
    <w:p w14:paraId="1194700E" w14:textId="77777777" w:rsidR="000C57F2" w:rsidRDefault="000C57F2" w:rsidP="000C57F2">
      <w:pPr>
        <w:pBdr>
          <w:top w:val="nil"/>
          <w:left w:val="nil"/>
          <w:bottom w:val="nil"/>
          <w:right w:val="nil"/>
          <w:between w:val="nil"/>
        </w:pBdr>
        <w:tabs>
          <w:tab w:val="left" w:pos="1307"/>
        </w:tabs>
        <w:jc w:val="both"/>
      </w:pPr>
    </w:p>
    <w:p w14:paraId="069B7812" w14:textId="77777777" w:rsidR="00765F85" w:rsidRDefault="00217A38" w:rsidP="00CD051B">
      <w:pPr>
        <w:pBdr>
          <w:top w:val="nil"/>
          <w:left w:val="nil"/>
          <w:bottom w:val="nil"/>
          <w:right w:val="nil"/>
          <w:between w:val="nil"/>
        </w:pBdr>
        <w:tabs>
          <w:tab w:val="left" w:pos="1307"/>
        </w:tabs>
        <w:jc w:val="both"/>
      </w:pPr>
      <w:r>
        <w:t xml:space="preserve">La BEI </w:t>
      </w:r>
      <w:r w:rsidR="00BB2B64">
        <w:t xml:space="preserve">dispose également plusieurs dispositifs de conseil et d’assistance, principalement pour faciliter le montage financier des projets. Une plateforme unique, le </w:t>
      </w:r>
      <w:hyperlink r:id="rId60" w:history="1">
        <w:proofErr w:type="spellStart"/>
        <w:r w:rsidR="00BB2B64" w:rsidRPr="00BB2B64">
          <w:rPr>
            <w:rStyle w:val="Lienhypertexte"/>
            <w:i/>
            <w:iCs/>
          </w:rPr>
          <w:t>European</w:t>
        </w:r>
        <w:proofErr w:type="spellEnd"/>
        <w:r w:rsidR="00BB2B64" w:rsidRPr="00BB2B64">
          <w:rPr>
            <w:rStyle w:val="Lienhypertexte"/>
            <w:i/>
            <w:iCs/>
          </w:rPr>
          <w:t xml:space="preserve"> Investment </w:t>
        </w:r>
        <w:proofErr w:type="spellStart"/>
        <w:r w:rsidR="00BB2B64" w:rsidRPr="00BB2B64">
          <w:rPr>
            <w:rStyle w:val="Lienhypertexte"/>
            <w:i/>
            <w:iCs/>
          </w:rPr>
          <w:t>Advisory</w:t>
        </w:r>
        <w:proofErr w:type="spellEnd"/>
        <w:r w:rsidR="00BB2B64" w:rsidRPr="00BB2B64">
          <w:rPr>
            <w:rStyle w:val="Lienhypertexte"/>
            <w:i/>
            <w:iCs/>
          </w:rPr>
          <w:t xml:space="preserve"> Hub</w:t>
        </w:r>
      </w:hyperlink>
      <w:r w:rsidR="00BB2B64">
        <w:t xml:space="preserve"> (EIAH) recense l’ensemble de ces dispositifs.</w:t>
      </w:r>
      <w:r w:rsidR="00765F85">
        <w:t xml:space="preserve"> La plupart des ces dispositifs auront vocation à être intégrés à </w:t>
      </w:r>
      <w:hyperlink r:id="rId61" w:history="1">
        <w:r w:rsidR="00765F85" w:rsidRPr="00765F85">
          <w:rPr>
            <w:rStyle w:val="Lienhypertexte"/>
          </w:rPr>
          <w:t>la plateforme de conseil d’InvestEU</w:t>
        </w:r>
      </w:hyperlink>
      <w:r w:rsidR="00765F85">
        <w:t>.</w:t>
      </w:r>
    </w:p>
    <w:p w14:paraId="1559F9BF" w14:textId="77777777" w:rsidR="00765F85" w:rsidRDefault="00765F85" w:rsidP="00CD051B">
      <w:pPr>
        <w:pBdr>
          <w:top w:val="nil"/>
          <w:left w:val="nil"/>
          <w:bottom w:val="nil"/>
          <w:right w:val="nil"/>
          <w:between w:val="nil"/>
        </w:pBdr>
        <w:tabs>
          <w:tab w:val="left" w:pos="1307"/>
        </w:tabs>
        <w:jc w:val="both"/>
      </w:pPr>
    </w:p>
    <w:p w14:paraId="37CED87F" w14:textId="77777777" w:rsidR="00CD051B" w:rsidRDefault="00CD051B" w:rsidP="00CD051B">
      <w:pPr>
        <w:pBdr>
          <w:top w:val="nil"/>
          <w:left w:val="nil"/>
          <w:bottom w:val="nil"/>
          <w:right w:val="nil"/>
          <w:between w:val="nil"/>
        </w:pBdr>
        <w:tabs>
          <w:tab w:val="left" w:pos="1307"/>
        </w:tabs>
        <w:jc w:val="both"/>
      </w:pPr>
      <w:r>
        <w:t xml:space="preserve">Les principaux dispositifs </w:t>
      </w:r>
      <w:r w:rsidR="00B8338D">
        <w:t xml:space="preserve">de conseil et d’assistance de la BEI </w:t>
      </w:r>
      <w:r>
        <w:t>pertinents pour appuyer la transition écologique et énergétiques sont les suivants :</w:t>
      </w:r>
    </w:p>
    <w:p w14:paraId="15545E40" w14:textId="77777777" w:rsidR="002A73FE" w:rsidRDefault="002A73FE" w:rsidP="002A73FE">
      <w:pPr>
        <w:pBdr>
          <w:top w:val="nil"/>
          <w:left w:val="nil"/>
          <w:bottom w:val="nil"/>
          <w:right w:val="nil"/>
          <w:between w:val="nil"/>
        </w:pBdr>
        <w:tabs>
          <w:tab w:val="left" w:pos="1307"/>
        </w:tabs>
        <w:jc w:val="both"/>
      </w:pPr>
    </w:p>
    <w:p w14:paraId="60B0761E" w14:textId="5264B684" w:rsidR="002A73FE" w:rsidRPr="00B74B9D" w:rsidRDefault="002A73FE" w:rsidP="002A73FE">
      <w:pPr>
        <w:pStyle w:val="Style1"/>
        <w:rPr>
          <w:lang w:val="en-GB"/>
        </w:rPr>
      </w:pPr>
      <w:bookmarkStart w:id="1" w:name="_Hlk72312808"/>
      <w:r w:rsidRPr="00B74B9D">
        <w:rPr>
          <w:lang w:val="en-GB"/>
        </w:rPr>
        <w:t xml:space="preserve">JASPERS – Joint Assistance </w:t>
      </w:r>
      <w:r w:rsidR="00364657">
        <w:rPr>
          <w:lang w:val="en-GB"/>
        </w:rPr>
        <w:t>to</w:t>
      </w:r>
      <w:r w:rsidR="00364657" w:rsidRPr="00B74B9D">
        <w:rPr>
          <w:lang w:val="en-GB"/>
        </w:rPr>
        <w:t xml:space="preserve"> </w:t>
      </w:r>
      <w:r w:rsidRPr="00B74B9D">
        <w:rPr>
          <w:lang w:val="en-GB"/>
        </w:rPr>
        <w:t>Support Projects in European Regions</w:t>
      </w:r>
      <w:bookmarkEnd w:id="1"/>
      <w:r w:rsidR="00364657">
        <w:rPr>
          <w:lang w:val="en-GB"/>
        </w:rPr>
        <w:t xml:space="preserve"> – </w:t>
      </w:r>
      <w:proofErr w:type="spellStart"/>
      <w:proofErr w:type="gramStart"/>
      <w:r w:rsidR="00364657">
        <w:rPr>
          <w:lang w:val="en-GB"/>
        </w:rPr>
        <w:t>cible</w:t>
      </w:r>
      <w:proofErr w:type="spellEnd"/>
      <w:r w:rsidR="00364657">
        <w:rPr>
          <w:lang w:val="en-GB"/>
        </w:rPr>
        <w:t xml:space="preserve"> :</w:t>
      </w:r>
      <w:proofErr w:type="gramEnd"/>
      <w:r w:rsidR="00364657">
        <w:rPr>
          <w:lang w:val="en-GB"/>
        </w:rPr>
        <w:t xml:space="preserve"> </w:t>
      </w:r>
      <w:proofErr w:type="spellStart"/>
      <w:r w:rsidR="00EC1984">
        <w:rPr>
          <w:lang w:val="en-GB"/>
        </w:rPr>
        <w:t>V</w:t>
      </w:r>
      <w:r w:rsidR="00364657">
        <w:rPr>
          <w:lang w:val="en-GB"/>
        </w:rPr>
        <w:t>illes</w:t>
      </w:r>
      <w:proofErr w:type="spellEnd"/>
      <w:r w:rsidR="00364657">
        <w:rPr>
          <w:lang w:val="en-GB"/>
        </w:rPr>
        <w:t xml:space="preserve"> et </w:t>
      </w:r>
      <w:proofErr w:type="spellStart"/>
      <w:r w:rsidR="00EC1984">
        <w:rPr>
          <w:lang w:val="en-GB"/>
        </w:rPr>
        <w:t>R</w:t>
      </w:r>
      <w:r w:rsidR="00364657">
        <w:rPr>
          <w:lang w:val="en-GB"/>
        </w:rPr>
        <w:t>égions</w:t>
      </w:r>
      <w:proofErr w:type="spellEnd"/>
    </w:p>
    <w:p w14:paraId="6CB057EE" w14:textId="77777777" w:rsidR="002A73FE" w:rsidRPr="00B74B9D" w:rsidRDefault="002A73FE" w:rsidP="002A73FE">
      <w:pPr>
        <w:pBdr>
          <w:top w:val="nil"/>
          <w:left w:val="nil"/>
          <w:bottom w:val="nil"/>
          <w:right w:val="nil"/>
          <w:between w:val="nil"/>
        </w:pBdr>
        <w:tabs>
          <w:tab w:val="left" w:pos="1307"/>
        </w:tabs>
        <w:jc w:val="both"/>
        <w:rPr>
          <w:lang w:val="en-GB"/>
        </w:rPr>
      </w:pPr>
    </w:p>
    <w:p w14:paraId="442A290A" w14:textId="77777777" w:rsidR="002A73FE" w:rsidRDefault="002A73FE" w:rsidP="002A73FE">
      <w:pPr>
        <w:pBdr>
          <w:top w:val="nil"/>
          <w:left w:val="nil"/>
          <w:bottom w:val="nil"/>
          <w:right w:val="nil"/>
          <w:between w:val="nil"/>
        </w:pBdr>
        <w:tabs>
          <w:tab w:val="left" w:pos="1307"/>
        </w:tabs>
        <w:jc w:val="both"/>
      </w:pPr>
      <w:r>
        <w:t>L’objectif de Jasper</w:t>
      </w:r>
      <w:r w:rsidR="001D4D44">
        <w:t>s</w:t>
      </w:r>
      <w:r>
        <w:t xml:space="preserve"> et </w:t>
      </w:r>
      <w:r w:rsidRPr="00852732">
        <w:rPr>
          <w:b/>
          <w:bCs/>
        </w:rPr>
        <w:t xml:space="preserve">d’appuyer les villes et les régions </w:t>
      </w:r>
      <w:r w:rsidR="001D4D44">
        <w:rPr>
          <w:b/>
          <w:bCs/>
        </w:rPr>
        <w:t>dans le recours à</w:t>
      </w:r>
      <w:r w:rsidRPr="00852732">
        <w:rPr>
          <w:b/>
          <w:bCs/>
        </w:rPr>
        <w:t xml:space="preserve"> </w:t>
      </w:r>
      <w:r w:rsidR="00852732" w:rsidRPr="00852732">
        <w:rPr>
          <w:b/>
          <w:bCs/>
        </w:rPr>
        <w:t>certains programmes de financement européens</w:t>
      </w:r>
      <w:r w:rsidRPr="00852732">
        <w:t xml:space="preserve">, </w:t>
      </w:r>
      <w:r w:rsidR="00852732" w:rsidRPr="00852732">
        <w:t>à savoir</w:t>
      </w:r>
      <w:r w:rsidRPr="00852732">
        <w:rPr>
          <w:b/>
          <w:bCs/>
        </w:rPr>
        <w:t xml:space="preserve"> les Fonds européens structurels et d’investissements </w:t>
      </w:r>
      <w:r w:rsidRPr="00852732">
        <w:t>(FESI</w:t>
      </w:r>
      <w:r w:rsidR="00852732" w:rsidRPr="00852732">
        <w:t>, y compris le Fonds de transition juste</w:t>
      </w:r>
      <w:r w:rsidRPr="00852732">
        <w:t>)</w:t>
      </w:r>
      <w:r w:rsidRPr="00852732">
        <w:rPr>
          <w:b/>
          <w:bCs/>
        </w:rPr>
        <w:t xml:space="preserve"> ainsi que le Mécanisme pour l’interconnexion en Europe</w:t>
      </w:r>
      <w:r>
        <w:t>. Cet appui consiste notamment en :</w:t>
      </w:r>
    </w:p>
    <w:p w14:paraId="20754DE9" w14:textId="77777777" w:rsidR="002A73FE" w:rsidRDefault="002A73FE" w:rsidP="00825859">
      <w:pPr>
        <w:pStyle w:val="Paragraphedeliste"/>
        <w:numPr>
          <w:ilvl w:val="0"/>
          <w:numId w:val="24"/>
        </w:numPr>
        <w:pBdr>
          <w:top w:val="nil"/>
          <w:left w:val="nil"/>
          <w:bottom w:val="nil"/>
          <w:right w:val="nil"/>
          <w:between w:val="nil"/>
        </w:pBdr>
        <w:tabs>
          <w:tab w:val="left" w:pos="1307"/>
        </w:tabs>
        <w:jc w:val="both"/>
      </w:pPr>
      <w:r>
        <w:t>Des conseils de planification stratégique aux autorités publiques, sur un large éventail de secteurs</w:t>
      </w:r>
      <w:r w:rsidR="00D12C95">
        <w:t> ;</w:t>
      </w:r>
    </w:p>
    <w:p w14:paraId="4F3A9EFD" w14:textId="77777777" w:rsidR="002A73FE" w:rsidRDefault="002A73FE" w:rsidP="00825859">
      <w:pPr>
        <w:pStyle w:val="Paragraphedeliste"/>
        <w:numPr>
          <w:ilvl w:val="0"/>
          <w:numId w:val="24"/>
        </w:numPr>
        <w:pBdr>
          <w:top w:val="nil"/>
          <w:left w:val="nil"/>
          <w:bottom w:val="nil"/>
          <w:right w:val="nil"/>
          <w:between w:val="nil"/>
        </w:pBdr>
        <w:tabs>
          <w:tab w:val="left" w:pos="1307"/>
        </w:tabs>
        <w:jc w:val="both"/>
      </w:pPr>
      <w:r>
        <w:t>Le soutien aux porteurs de projets afin que leurs projets soient conformes aux attentes des fonds européens</w:t>
      </w:r>
      <w:r w:rsidR="00D12C95">
        <w:t> ;</w:t>
      </w:r>
    </w:p>
    <w:p w14:paraId="16F2245B" w14:textId="77777777" w:rsidR="002A73FE" w:rsidRDefault="002A73FE" w:rsidP="00825859">
      <w:pPr>
        <w:pStyle w:val="Paragraphedeliste"/>
        <w:numPr>
          <w:ilvl w:val="0"/>
          <w:numId w:val="24"/>
        </w:numPr>
        <w:pBdr>
          <w:top w:val="nil"/>
          <w:left w:val="nil"/>
          <w:bottom w:val="nil"/>
          <w:right w:val="nil"/>
          <w:between w:val="nil"/>
        </w:pBdr>
        <w:tabs>
          <w:tab w:val="left" w:pos="1307"/>
        </w:tabs>
        <w:jc w:val="both"/>
      </w:pPr>
      <w:r>
        <w:t>Le renforcement des capacités des administrations et des porteurs de projets</w:t>
      </w:r>
      <w:r w:rsidR="00D12C95">
        <w:t xml:space="preserve"> concernant le montage de projets, les enjeux environnementaux ou encore la réglementation européenne ;</w:t>
      </w:r>
    </w:p>
    <w:p w14:paraId="626985BB" w14:textId="77777777" w:rsidR="00D12C95" w:rsidRDefault="00D12C95" w:rsidP="00825859">
      <w:pPr>
        <w:pStyle w:val="Paragraphedeliste"/>
        <w:numPr>
          <w:ilvl w:val="0"/>
          <w:numId w:val="24"/>
        </w:numPr>
        <w:pBdr>
          <w:top w:val="nil"/>
          <w:left w:val="nil"/>
          <w:bottom w:val="nil"/>
          <w:right w:val="nil"/>
          <w:between w:val="nil"/>
        </w:pBdr>
        <w:tabs>
          <w:tab w:val="left" w:pos="1307"/>
        </w:tabs>
        <w:jc w:val="both"/>
      </w:pPr>
      <w:r>
        <w:t>L’accélération des processus d’octroi des financements européens par la réalisation d’un contrôle qualité indépendant.</w:t>
      </w:r>
    </w:p>
    <w:p w14:paraId="053C4C80" w14:textId="77777777" w:rsidR="002A73FE" w:rsidRDefault="001D4D44" w:rsidP="002A73FE">
      <w:pPr>
        <w:pBdr>
          <w:top w:val="nil"/>
          <w:left w:val="nil"/>
          <w:bottom w:val="nil"/>
          <w:right w:val="nil"/>
          <w:between w:val="nil"/>
        </w:pBdr>
        <w:tabs>
          <w:tab w:val="left" w:pos="1307"/>
        </w:tabs>
        <w:jc w:val="both"/>
      </w:pPr>
      <w:r>
        <w:t xml:space="preserve">Cet appui porte en principe sur des projets de grande envergure, de plusieurs dizaines de millions </w:t>
      </w:r>
      <w:r w:rsidR="00374351">
        <w:t>d’euros</w:t>
      </w:r>
      <w:r>
        <w:t>.</w:t>
      </w:r>
    </w:p>
    <w:p w14:paraId="754F7DBF" w14:textId="77777777" w:rsidR="00BC173E" w:rsidRDefault="00BC173E" w:rsidP="002A73FE">
      <w:pPr>
        <w:pBdr>
          <w:top w:val="nil"/>
          <w:left w:val="nil"/>
          <w:bottom w:val="nil"/>
          <w:right w:val="nil"/>
          <w:between w:val="nil"/>
        </w:pBdr>
        <w:tabs>
          <w:tab w:val="left" w:pos="1307"/>
        </w:tabs>
        <w:jc w:val="both"/>
      </w:pPr>
    </w:p>
    <w:p w14:paraId="059811E2" w14:textId="77777777" w:rsidR="001D4D44" w:rsidRDefault="001D4D44" w:rsidP="002A73FE">
      <w:pPr>
        <w:pBdr>
          <w:top w:val="nil"/>
          <w:left w:val="nil"/>
          <w:bottom w:val="nil"/>
          <w:right w:val="nil"/>
          <w:between w:val="nil"/>
        </w:pBdr>
        <w:tabs>
          <w:tab w:val="left" w:pos="1307"/>
        </w:tabs>
        <w:jc w:val="both"/>
      </w:pPr>
      <w:r>
        <w:t xml:space="preserve">Plus d’informations sur le site de </w:t>
      </w:r>
      <w:hyperlink r:id="rId62" w:history="1">
        <w:r w:rsidRPr="001D4D44">
          <w:rPr>
            <w:rStyle w:val="Lienhypertexte"/>
          </w:rPr>
          <w:t>JASPERS</w:t>
        </w:r>
      </w:hyperlink>
      <w:r>
        <w:t xml:space="preserve"> et </w:t>
      </w:r>
      <w:hyperlink r:id="rId63" w:history="1">
        <w:r w:rsidRPr="001D4D44">
          <w:rPr>
            <w:rStyle w:val="Lienhypertexte"/>
          </w:rPr>
          <w:t>la brochure de présentation du dispositif</w:t>
        </w:r>
      </w:hyperlink>
      <w:r>
        <w:t>.</w:t>
      </w:r>
    </w:p>
    <w:p w14:paraId="35F2CA91" w14:textId="77777777" w:rsidR="001D4D44" w:rsidRDefault="001D4D44" w:rsidP="002A73FE">
      <w:pPr>
        <w:pBdr>
          <w:top w:val="nil"/>
          <w:left w:val="nil"/>
          <w:bottom w:val="nil"/>
          <w:right w:val="nil"/>
          <w:between w:val="nil"/>
        </w:pBdr>
        <w:tabs>
          <w:tab w:val="left" w:pos="1307"/>
        </w:tabs>
        <w:jc w:val="both"/>
      </w:pPr>
    </w:p>
    <w:p w14:paraId="3E51F0BF" w14:textId="77777777" w:rsidR="001D4D44" w:rsidRDefault="001D4D44" w:rsidP="002A73FE">
      <w:pPr>
        <w:pBdr>
          <w:top w:val="nil"/>
          <w:left w:val="nil"/>
          <w:bottom w:val="nil"/>
          <w:right w:val="nil"/>
          <w:between w:val="nil"/>
        </w:pBdr>
        <w:tabs>
          <w:tab w:val="left" w:pos="1307"/>
        </w:tabs>
        <w:jc w:val="both"/>
      </w:pPr>
      <w:r>
        <w:t xml:space="preserve">Pour solliciter le dispositif contactez </w:t>
      </w:r>
      <w:hyperlink r:id="rId64" w:history="1">
        <w:r w:rsidRPr="001D4D44">
          <w:rPr>
            <w:rStyle w:val="Lienhypertexte"/>
          </w:rPr>
          <w:t>l’un des bureaux de Jaspers</w:t>
        </w:r>
      </w:hyperlink>
      <w:r>
        <w:t>, répartis dans différents pays d’Europe.</w:t>
      </w:r>
      <w:r w:rsidR="00BC173E">
        <w:t xml:space="preserve"> L’assistance de Jaspers est gratuite.</w:t>
      </w:r>
    </w:p>
    <w:p w14:paraId="688DA195" w14:textId="77777777" w:rsidR="001D4D44" w:rsidRDefault="001D4D44" w:rsidP="002A73FE">
      <w:pPr>
        <w:pBdr>
          <w:top w:val="nil"/>
          <w:left w:val="nil"/>
          <w:bottom w:val="nil"/>
          <w:right w:val="nil"/>
          <w:between w:val="nil"/>
        </w:pBdr>
        <w:tabs>
          <w:tab w:val="left" w:pos="1307"/>
        </w:tabs>
        <w:jc w:val="both"/>
      </w:pPr>
    </w:p>
    <w:p w14:paraId="1C7CB4F0" w14:textId="77777777" w:rsidR="00B4639F" w:rsidRDefault="00B4639F" w:rsidP="00B4639F">
      <w:pPr>
        <w:pStyle w:val="Style1"/>
      </w:pPr>
      <w:r>
        <w:t>PASSA – Accord concernant des services de conseil à l’appui de projets</w:t>
      </w:r>
      <w:r w:rsidR="00364657">
        <w:t xml:space="preserve"> – cible : autorités et collectivités publiques, entités privées </w:t>
      </w:r>
    </w:p>
    <w:p w14:paraId="77360C90" w14:textId="77777777" w:rsidR="00B4639F" w:rsidRDefault="00B4639F" w:rsidP="00B4639F">
      <w:pPr>
        <w:pBdr>
          <w:top w:val="nil"/>
          <w:left w:val="nil"/>
          <w:bottom w:val="nil"/>
          <w:right w:val="nil"/>
          <w:between w:val="nil"/>
        </w:pBdr>
        <w:tabs>
          <w:tab w:val="left" w:pos="1307"/>
        </w:tabs>
        <w:jc w:val="both"/>
      </w:pPr>
    </w:p>
    <w:p w14:paraId="6F8CE50C" w14:textId="77777777" w:rsidR="00B4639F" w:rsidRDefault="00B4639F" w:rsidP="00B4639F">
      <w:pPr>
        <w:pBdr>
          <w:top w:val="nil"/>
          <w:left w:val="nil"/>
          <w:bottom w:val="nil"/>
          <w:right w:val="nil"/>
          <w:between w:val="nil"/>
        </w:pBdr>
        <w:tabs>
          <w:tab w:val="left" w:pos="1307"/>
        </w:tabs>
        <w:jc w:val="both"/>
      </w:pPr>
      <w:r>
        <w:t xml:space="preserve">Ces accords sont destinés à </w:t>
      </w:r>
      <w:r w:rsidRPr="00B4639F">
        <w:rPr>
          <w:b/>
          <w:bCs/>
        </w:rPr>
        <w:t>accélérer l’exécution des projets et l’absorption des FESI</w:t>
      </w:r>
      <w:r>
        <w:t xml:space="preserve">. Ils portent sur des </w:t>
      </w:r>
      <w:r w:rsidRPr="00B4639F">
        <w:rPr>
          <w:b/>
          <w:bCs/>
        </w:rPr>
        <w:t>projets stratégiques de grande envergure</w:t>
      </w:r>
      <w:r>
        <w:t xml:space="preserve"> (projets d’infrastructures stratégiques et systèmes de passation des marchés publics). Le contenu de l’assistance peut par exemple porter sur un :</w:t>
      </w:r>
    </w:p>
    <w:p w14:paraId="0B3BFD91" w14:textId="77777777" w:rsidR="00B4639F" w:rsidRDefault="00B4639F" w:rsidP="00825859">
      <w:pPr>
        <w:pStyle w:val="Paragraphedeliste"/>
        <w:numPr>
          <w:ilvl w:val="0"/>
          <w:numId w:val="25"/>
        </w:numPr>
        <w:pBdr>
          <w:top w:val="nil"/>
          <w:left w:val="nil"/>
          <w:bottom w:val="nil"/>
          <w:right w:val="nil"/>
          <w:between w:val="nil"/>
        </w:pBdr>
        <w:tabs>
          <w:tab w:val="left" w:pos="1307"/>
        </w:tabs>
        <w:jc w:val="both"/>
      </w:pPr>
      <w:r>
        <w:t>Appui relatif aux systèmes de gestion et de contrôle : procédures d’instruction, évaluation technique des projets, formation et renforcement des capacités, etc.</w:t>
      </w:r>
    </w:p>
    <w:p w14:paraId="177B4F10" w14:textId="77777777" w:rsidR="00B4639F" w:rsidRDefault="00B4639F" w:rsidP="00825859">
      <w:pPr>
        <w:pStyle w:val="Paragraphedeliste"/>
        <w:numPr>
          <w:ilvl w:val="0"/>
          <w:numId w:val="25"/>
        </w:numPr>
        <w:pBdr>
          <w:top w:val="nil"/>
          <w:left w:val="nil"/>
          <w:bottom w:val="nil"/>
          <w:right w:val="nil"/>
          <w:between w:val="nil"/>
        </w:pBdr>
        <w:tabs>
          <w:tab w:val="left" w:pos="1307"/>
        </w:tabs>
        <w:jc w:val="both"/>
      </w:pPr>
      <w:r>
        <w:t>Appui au changement institutionnel : cadre de contrôle interne, contrôle ex ante lors de la p</w:t>
      </w:r>
      <w:r w:rsidR="00755027">
        <w:t>a</w:t>
      </w:r>
      <w:r>
        <w:t>ssation de marchés publics, mise en place de nouvelles institutions.</w:t>
      </w:r>
    </w:p>
    <w:p w14:paraId="7094D2CE" w14:textId="77777777" w:rsidR="00B4639F" w:rsidRDefault="00B4639F" w:rsidP="00825859">
      <w:pPr>
        <w:pStyle w:val="Paragraphedeliste"/>
        <w:numPr>
          <w:ilvl w:val="0"/>
          <w:numId w:val="25"/>
        </w:numPr>
        <w:pBdr>
          <w:top w:val="nil"/>
          <w:left w:val="nil"/>
          <w:bottom w:val="nil"/>
          <w:right w:val="nil"/>
          <w:between w:val="nil"/>
        </w:pBdr>
        <w:tabs>
          <w:tab w:val="left" w:pos="1307"/>
        </w:tabs>
        <w:jc w:val="both"/>
      </w:pPr>
      <w:r>
        <w:t>Appui à la mise en œuvre de projets : structuration et soutien des unités d’exécution des projets, conseils lors de la procédure de passation des marchés, etc.</w:t>
      </w:r>
    </w:p>
    <w:p w14:paraId="1868194E" w14:textId="77777777" w:rsidR="00B4639F" w:rsidRDefault="00B4639F" w:rsidP="00B4639F">
      <w:pPr>
        <w:pBdr>
          <w:top w:val="nil"/>
          <w:left w:val="nil"/>
          <w:bottom w:val="nil"/>
          <w:right w:val="nil"/>
          <w:between w:val="nil"/>
        </w:pBdr>
        <w:tabs>
          <w:tab w:val="left" w:pos="1307"/>
        </w:tabs>
        <w:jc w:val="both"/>
      </w:pPr>
      <w:r>
        <w:t xml:space="preserve">Ce type d’appui peut par exemple venir </w:t>
      </w:r>
      <w:r w:rsidRPr="005B2BBF">
        <w:rPr>
          <w:b/>
          <w:bCs/>
        </w:rPr>
        <w:t>co</w:t>
      </w:r>
      <w:r w:rsidRPr="00B4639F">
        <w:rPr>
          <w:b/>
          <w:bCs/>
        </w:rPr>
        <w:t>mpléter des prêts-cadres en appui aux Fonds européens structurels et d’investissements (FESI)</w:t>
      </w:r>
      <w:r>
        <w:t>, présentés plus haut.</w:t>
      </w:r>
    </w:p>
    <w:p w14:paraId="6C9F9189" w14:textId="77777777" w:rsidR="00B4639F" w:rsidRDefault="00B4639F" w:rsidP="00B4639F">
      <w:pPr>
        <w:pBdr>
          <w:top w:val="nil"/>
          <w:left w:val="nil"/>
          <w:bottom w:val="nil"/>
          <w:right w:val="nil"/>
          <w:between w:val="nil"/>
        </w:pBdr>
        <w:tabs>
          <w:tab w:val="left" w:pos="1307"/>
        </w:tabs>
        <w:jc w:val="both"/>
      </w:pPr>
    </w:p>
    <w:p w14:paraId="409F2A8F" w14:textId="77777777" w:rsidR="00B4639F" w:rsidRDefault="00B4639F" w:rsidP="00B4639F">
      <w:pPr>
        <w:pBdr>
          <w:top w:val="nil"/>
          <w:left w:val="nil"/>
          <w:bottom w:val="nil"/>
          <w:right w:val="nil"/>
          <w:between w:val="nil"/>
        </w:pBdr>
        <w:tabs>
          <w:tab w:val="left" w:pos="1307"/>
        </w:tabs>
        <w:jc w:val="both"/>
      </w:pPr>
      <w:r>
        <w:t>Il est destiné au secteur public (administration d’Etat, entreprises publiques, collectivités territoriales) mais aussi privé (pour des entités prévoyant de concevoir et de mettre en œuvre des investissements dans des infrastructures).</w:t>
      </w:r>
    </w:p>
    <w:p w14:paraId="3530781B" w14:textId="77777777" w:rsidR="00B4639F" w:rsidRDefault="00B4639F" w:rsidP="00B4639F">
      <w:pPr>
        <w:pBdr>
          <w:top w:val="nil"/>
          <w:left w:val="nil"/>
          <w:bottom w:val="nil"/>
          <w:right w:val="nil"/>
          <w:between w:val="nil"/>
        </w:pBdr>
        <w:tabs>
          <w:tab w:val="left" w:pos="1307"/>
        </w:tabs>
        <w:jc w:val="both"/>
      </w:pPr>
    </w:p>
    <w:p w14:paraId="1F7C7A94" w14:textId="77777777" w:rsidR="00B4639F" w:rsidRDefault="00B4639F" w:rsidP="00B4639F">
      <w:pPr>
        <w:pBdr>
          <w:top w:val="nil"/>
          <w:left w:val="nil"/>
          <w:bottom w:val="nil"/>
          <w:right w:val="nil"/>
          <w:between w:val="nil"/>
        </w:pBdr>
        <w:tabs>
          <w:tab w:val="left" w:pos="1307"/>
        </w:tabs>
        <w:jc w:val="both"/>
      </w:pPr>
      <w:r>
        <w:t xml:space="preserve">Pour solliciter le dispositif, écrivez à </w:t>
      </w:r>
      <w:hyperlink r:id="rId65" w:history="1">
        <w:r w:rsidRPr="0062029F">
          <w:rPr>
            <w:rStyle w:val="Lienhypertexte"/>
          </w:rPr>
          <w:t>pasu@eib.org</w:t>
        </w:r>
      </w:hyperlink>
      <w:r>
        <w:t xml:space="preserve">. </w:t>
      </w:r>
    </w:p>
    <w:p w14:paraId="05774048" w14:textId="77777777" w:rsidR="00B4639F" w:rsidRDefault="00B4639F" w:rsidP="002A73FE">
      <w:pPr>
        <w:pBdr>
          <w:top w:val="nil"/>
          <w:left w:val="nil"/>
          <w:bottom w:val="nil"/>
          <w:right w:val="nil"/>
          <w:between w:val="nil"/>
        </w:pBdr>
        <w:tabs>
          <w:tab w:val="left" w:pos="1307"/>
        </w:tabs>
        <w:jc w:val="both"/>
      </w:pPr>
    </w:p>
    <w:p w14:paraId="065E8788" w14:textId="77777777" w:rsidR="00CD051B" w:rsidRDefault="00CD051B" w:rsidP="00CD051B">
      <w:pPr>
        <w:pStyle w:val="Style1"/>
      </w:pPr>
      <w:r>
        <w:t>Le service de conseil du dispositif InnovFin</w:t>
      </w:r>
      <w:r w:rsidR="00364657">
        <w:t xml:space="preserve"> – projets RDI publics et privés</w:t>
      </w:r>
    </w:p>
    <w:p w14:paraId="73822F17" w14:textId="77777777" w:rsidR="00CD051B" w:rsidRDefault="00CD051B" w:rsidP="00CD051B">
      <w:pPr>
        <w:pBdr>
          <w:top w:val="nil"/>
          <w:left w:val="nil"/>
          <w:bottom w:val="nil"/>
          <w:right w:val="nil"/>
          <w:between w:val="nil"/>
        </w:pBdr>
        <w:tabs>
          <w:tab w:val="left" w:pos="1307"/>
        </w:tabs>
        <w:jc w:val="both"/>
      </w:pPr>
    </w:p>
    <w:p w14:paraId="64557885" w14:textId="77777777" w:rsidR="00626B34" w:rsidRDefault="00CD051B" w:rsidP="00CD051B">
      <w:pPr>
        <w:pBdr>
          <w:top w:val="nil"/>
          <w:left w:val="nil"/>
          <w:bottom w:val="nil"/>
          <w:right w:val="nil"/>
          <w:between w:val="nil"/>
        </w:pBdr>
        <w:tabs>
          <w:tab w:val="left" w:pos="1307"/>
        </w:tabs>
        <w:jc w:val="both"/>
      </w:pPr>
      <w:r>
        <w:t>Dispositif de soutien à l’innovation lancé en 2014 par la BEI et le programme Horizon 2020, InnovFin a vocation à être désormais intégré à InvestEU.</w:t>
      </w:r>
    </w:p>
    <w:p w14:paraId="3DFD6733" w14:textId="77777777" w:rsidR="00626B34" w:rsidRDefault="00626B34" w:rsidP="00CD051B">
      <w:pPr>
        <w:pBdr>
          <w:top w:val="nil"/>
          <w:left w:val="nil"/>
          <w:bottom w:val="nil"/>
          <w:right w:val="nil"/>
          <w:between w:val="nil"/>
        </w:pBdr>
        <w:tabs>
          <w:tab w:val="left" w:pos="1307"/>
        </w:tabs>
        <w:jc w:val="both"/>
      </w:pPr>
    </w:p>
    <w:p w14:paraId="3D6CE40C" w14:textId="77777777" w:rsidR="00626B34" w:rsidRDefault="00CD051B" w:rsidP="00CD051B">
      <w:pPr>
        <w:pBdr>
          <w:top w:val="nil"/>
          <w:left w:val="nil"/>
          <w:bottom w:val="nil"/>
          <w:right w:val="nil"/>
          <w:between w:val="nil"/>
        </w:pBdr>
        <w:tabs>
          <w:tab w:val="left" w:pos="1307"/>
        </w:tabs>
        <w:jc w:val="both"/>
      </w:pPr>
      <w:r>
        <w:t xml:space="preserve">Il comporte un volet de conseil qui vise à </w:t>
      </w:r>
      <w:r w:rsidRPr="00626B34">
        <w:rPr>
          <w:b/>
          <w:bCs/>
        </w:rPr>
        <w:t>appuyer la structuration des projets de recherche et d’innovation afin d’améliorer leur accès à des financements</w:t>
      </w:r>
      <w:r w:rsidR="00626B34">
        <w:t>. Cela permet notamment d’</w:t>
      </w:r>
      <w:r w:rsidRPr="00CD051B">
        <w:t>ajuster certains aspects tels que le modèle économique, la gouvernance, les sources et la structure de financement pour faciliter l</w:t>
      </w:r>
      <w:r w:rsidR="00626B34">
        <w:t>’</w:t>
      </w:r>
      <w:r w:rsidRPr="00CD051B">
        <w:t>accès à des fonds.</w:t>
      </w:r>
    </w:p>
    <w:p w14:paraId="15757601" w14:textId="77777777" w:rsidR="00626B34" w:rsidRDefault="00626B34" w:rsidP="00CD051B">
      <w:pPr>
        <w:pBdr>
          <w:top w:val="nil"/>
          <w:left w:val="nil"/>
          <w:bottom w:val="nil"/>
          <w:right w:val="nil"/>
          <w:between w:val="nil"/>
        </w:pBdr>
        <w:tabs>
          <w:tab w:val="left" w:pos="1307"/>
        </w:tabs>
        <w:jc w:val="both"/>
      </w:pPr>
    </w:p>
    <w:p w14:paraId="563CCF71" w14:textId="77777777" w:rsidR="00B8338D" w:rsidRDefault="00626B34" w:rsidP="00626B34">
      <w:pPr>
        <w:pBdr>
          <w:top w:val="nil"/>
          <w:left w:val="nil"/>
          <w:bottom w:val="nil"/>
          <w:right w:val="nil"/>
          <w:between w:val="nil"/>
        </w:pBdr>
        <w:tabs>
          <w:tab w:val="left" w:pos="1307"/>
        </w:tabs>
        <w:jc w:val="both"/>
      </w:pPr>
      <w:r>
        <w:t xml:space="preserve">Il s’adresse aux entreprises de toute taille, au secteur public ainsi qu’au secteur </w:t>
      </w:r>
      <w:proofErr w:type="spellStart"/>
      <w:r>
        <w:t>para-public</w:t>
      </w:r>
      <w:proofErr w:type="spellEnd"/>
      <w:r>
        <w:t xml:space="preserve"> (instituts de recherche, fondations, etc.).</w:t>
      </w:r>
    </w:p>
    <w:p w14:paraId="75EEFC09" w14:textId="77777777" w:rsidR="00B8338D" w:rsidRDefault="00B8338D" w:rsidP="00626B34">
      <w:pPr>
        <w:pBdr>
          <w:top w:val="nil"/>
          <w:left w:val="nil"/>
          <w:bottom w:val="nil"/>
          <w:right w:val="nil"/>
          <w:between w:val="nil"/>
        </w:pBdr>
        <w:tabs>
          <w:tab w:val="left" w:pos="1307"/>
        </w:tabs>
        <w:jc w:val="both"/>
      </w:pPr>
    </w:p>
    <w:p w14:paraId="6C47EB3D" w14:textId="77777777" w:rsidR="00626B34" w:rsidRDefault="00626B34" w:rsidP="00626B34">
      <w:pPr>
        <w:pBdr>
          <w:top w:val="nil"/>
          <w:left w:val="nil"/>
          <w:bottom w:val="nil"/>
          <w:right w:val="nil"/>
          <w:between w:val="nil"/>
        </w:pBdr>
        <w:tabs>
          <w:tab w:val="left" w:pos="1307"/>
        </w:tabs>
        <w:jc w:val="both"/>
      </w:pPr>
      <w:r>
        <w:t>Pour être admissible à un appui des Services de conseil d’InnovFin, un projet doit :</w:t>
      </w:r>
    </w:p>
    <w:p w14:paraId="1E187AAC" w14:textId="6FA370C8" w:rsidR="00626B34" w:rsidRDefault="00B74B9D" w:rsidP="00825859">
      <w:pPr>
        <w:pStyle w:val="Paragraphedeliste"/>
        <w:numPr>
          <w:ilvl w:val="0"/>
          <w:numId w:val="23"/>
        </w:numPr>
        <w:pBdr>
          <w:top w:val="nil"/>
          <w:left w:val="nil"/>
          <w:bottom w:val="nil"/>
          <w:right w:val="nil"/>
          <w:between w:val="nil"/>
        </w:pBdr>
        <w:tabs>
          <w:tab w:val="left" w:pos="1307"/>
        </w:tabs>
        <w:jc w:val="both"/>
      </w:pPr>
      <w:r>
        <w:t>N</w:t>
      </w:r>
      <w:r w:rsidR="00626B34">
        <w:t>écessiter un investissement de recherche et d’innovation de 15 millions € au minimum ;</w:t>
      </w:r>
    </w:p>
    <w:p w14:paraId="2C26E789" w14:textId="3F7F6601" w:rsidR="00626B34" w:rsidRDefault="00B74B9D" w:rsidP="00825859">
      <w:pPr>
        <w:pStyle w:val="Paragraphedeliste"/>
        <w:numPr>
          <w:ilvl w:val="0"/>
          <w:numId w:val="23"/>
        </w:numPr>
        <w:pBdr>
          <w:top w:val="nil"/>
          <w:left w:val="nil"/>
          <w:bottom w:val="nil"/>
          <w:right w:val="nil"/>
          <w:between w:val="nil"/>
        </w:pBdr>
        <w:tabs>
          <w:tab w:val="left" w:pos="1307"/>
        </w:tabs>
        <w:jc w:val="both"/>
      </w:pPr>
      <w:r>
        <w:t>R</w:t>
      </w:r>
      <w:r w:rsidR="00626B34">
        <w:t>épondre aux objectifs stratégiques de l'initiative Horizon 2020</w:t>
      </w:r>
      <w:r w:rsidR="00452D25">
        <w:rPr>
          <w:rStyle w:val="Appelnotedebasdep"/>
        </w:rPr>
        <w:footnoteReference w:id="7"/>
      </w:r>
      <w:r w:rsidR="00626B34">
        <w:t xml:space="preserve"> ; et</w:t>
      </w:r>
    </w:p>
    <w:p w14:paraId="6B8D3E72" w14:textId="00A26A19" w:rsidR="00626B34" w:rsidRDefault="00B74B9D" w:rsidP="00825859">
      <w:pPr>
        <w:pStyle w:val="Paragraphedeliste"/>
        <w:numPr>
          <w:ilvl w:val="0"/>
          <w:numId w:val="23"/>
        </w:numPr>
        <w:pBdr>
          <w:top w:val="nil"/>
          <w:left w:val="nil"/>
          <w:bottom w:val="nil"/>
          <w:right w:val="nil"/>
          <w:between w:val="nil"/>
        </w:pBdr>
        <w:tabs>
          <w:tab w:val="left" w:pos="1307"/>
        </w:tabs>
        <w:jc w:val="both"/>
      </w:pPr>
      <w:r>
        <w:t>N</w:t>
      </w:r>
      <w:r w:rsidR="00626B34">
        <w:t>e pas encore être prêt pour l’instruction de son financement</w:t>
      </w:r>
      <w:r w:rsidR="005B2BBF">
        <w:t xml:space="preserve"> et donc nécessiter l’appui des Services de conseil d’InnovFin</w:t>
      </w:r>
      <w:r w:rsidR="00626B34">
        <w:t>.</w:t>
      </w:r>
    </w:p>
    <w:p w14:paraId="2D85D645" w14:textId="77777777" w:rsidR="00D764A5" w:rsidRDefault="00D764A5" w:rsidP="00CD051B">
      <w:pPr>
        <w:pBdr>
          <w:top w:val="nil"/>
          <w:left w:val="nil"/>
          <w:bottom w:val="nil"/>
          <w:right w:val="nil"/>
          <w:between w:val="nil"/>
        </w:pBdr>
        <w:tabs>
          <w:tab w:val="left" w:pos="1307"/>
        </w:tabs>
        <w:jc w:val="both"/>
      </w:pPr>
    </w:p>
    <w:p w14:paraId="24A186CA" w14:textId="6EB47A36" w:rsidR="00626B34" w:rsidRDefault="00626B34" w:rsidP="00CD051B">
      <w:pPr>
        <w:pBdr>
          <w:top w:val="nil"/>
          <w:left w:val="nil"/>
          <w:bottom w:val="nil"/>
          <w:right w:val="nil"/>
          <w:between w:val="nil"/>
        </w:pBdr>
        <w:tabs>
          <w:tab w:val="left" w:pos="1307"/>
        </w:tabs>
        <w:jc w:val="both"/>
      </w:pPr>
      <w:r w:rsidRPr="00626B34">
        <w:t>Les Services de conseil d’InnovFin sont disponibles indépendamment des décisions de prêt ou d’investissement de la BEI.</w:t>
      </w:r>
      <w:r w:rsidR="00FE7BB1">
        <w:t xml:space="preserve"> Bénéficier de ces services n’ouvre pas de droit particulier à un financement de la BEI. Ces services</w:t>
      </w:r>
      <w:r w:rsidR="00D764A5">
        <w:t xml:space="preserve"> permettent d’évaluer toutes les sources de financement potentielles, y compris celles proposées par la BEI, mais pas uniquement.</w:t>
      </w:r>
      <w:r w:rsidR="006B257F">
        <w:t xml:space="preserve"> Toutefois, dans la pratique, la plupart des projets qui sollicitent ces services de conseil recherchent un financement de la BEI, puisque l’expertise interne d’InnovFin sur ces possibilités de financement est significative.</w:t>
      </w:r>
    </w:p>
    <w:p w14:paraId="63BCB219" w14:textId="77777777" w:rsidR="00626B34" w:rsidRDefault="00626B34" w:rsidP="00CD051B">
      <w:pPr>
        <w:pBdr>
          <w:top w:val="nil"/>
          <w:left w:val="nil"/>
          <w:bottom w:val="nil"/>
          <w:right w:val="nil"/>
          <w:between w:val="nil"/>
        </w:pBdr>
        <w:tabs>
          <w:tab w:val="left" w:pos="1307"/>
        </w:tabs>
        <w:jc w:val="both"/>
      </w:pPr>
    </w:p>
    <w:p w14:paraId="59094432" w14:textId="77777777" w:rsidR="00626B34" w:rsidRDefault="00626B34" w:rsidP="00CD051B">
      <w:pPr>
        <w:pBdr>
          <w:top w:val="nil"/>
          <w:left w:val="nil"/>
          <w:bottom w:val="nil"/>
          <w:right w:val="nil"/>
          <w:between w:val="nil"/>
        </w:pBdr>
        <w:tabs>
          <w:tab w:val="left" w:pos="1307"/>
        </w:tabs>
        <w:jc w:val="both"/>
      </w:pPr>
      <w:r>
        <w:t>Pour solliciter le dispositif, envoyez</w:t>
      </w:r>
      <w:r w:rsidRPr="00626B34">
        <w:t xml:space="preserve"> votre demande par écrit à </w:t>
      </w:r>
      <w:hyperlink r:id="rId66" w:history="1">
        <w:r w:rsidRPr="009102DE">
          <w:rPr>
            <w:rStyle w:val="Lienhypertexte"/>
          </w:rPr>
          <w:t>innovfinadvisory@eib.org</w:t>
        </w:r>
      </w:hyperlink>
      <w:r>
        <w:t>,</w:t>
      </w:r>
      <w:r w:rsidRPr="00626B34">
        <w:t xml:space="preserve"> en joignant une description détaillée du projet, notamment les éléments essentiels du plan d’activité et l’engagement budgétaire escompté. La Commission européenne donne son approbation aux projets admissibles.</w:t>
      </w:r>
    </w:p>
    <w:p w14:paraId="71435C4F" w14:textId="77777777" w:rsidR="002A73FE" w:rsidRDefault="002A73FE" w:rsidP="00CD051B">
      <w:pPr>
        <w:pBdr>
          <w:top w:val="nil"/>
          <w:left w:val="nil"/>
          <w:bottom w:val="nil"/>
          <w:right w:val="nil"/>
          <w:between w:val="nil"/>
        </w:pBdr>
        <w:tabs>
          <w:tab w:val="left" w:pos="1307"/>
        </w:tabs>
        <w:jc w:val="both"/>
      </w:pPr>
    </w:p>
    <w:p w14:paraId="40393DA8" w14:textId="53E919E9" w:rsidR="00B4639F" w:rsidRPr="00B74B9D" w:rsidRDefault="00B4639F" w:rsidP="00B4639F">
      <w:pPr>
        <w:pStyle w:val="Style1"/>
      </w:pPr>
      <w:r w:rsidRPr="00B74B9D">
        <w:t>URBIS</w:t>
      </w:r>
      <w:r w:rsidR="00374351" w:rsidRPr="00B74B9D">
        <w:t xml:space="preserve"> – Urban Investment Advisory Support</w:t>
      </w:r>
      <w:r w:rsidR="00364657" w:rsidRPr="00B74B9D">
        <w:t xml:space="preserve"> – cible = les autorités </w:t>
      </w:r>
      <w:r w:rsidR="00EC1984">
        <w:t>urbaines </w:t>
      </w:r>
      <w:r w:rsidR="004D7DCD">
        <w:t>pour des projets de développement urbain intégrés</w:t>
      </w:r>
    </w:p>
    <w:p w14:paraId="6EFF32B7" w14:textId="77777777" w:rsidR="00C250FC" w:rsidRPr="00B74B9D" w:rsidRDefault="00C250FC" w:rsidP="00CD051B">
      <w:pPr>
        <w:pBdr>
          <w:top w:val="nil"/>
          <w:left w:val="nil"/>
          <w:bottom w:val="nil"/>
          <w:right w:val="nil"/>
          <w:between w:val="nil"/>
        </w:pBdr>
        <w:tabs>
          <w:tab w:val="left" w:pos="1307"/>
        </w:tabs>
        <w:jc w:val="both"/>
      </w:pPr>
    </w:p>
    <w:p w14:paraId="4F498AC5" w14:textId="2DF91055" w:rsidR="00B4639F" w:rsidRDefault="00C250FC" w:rsidP="00CD051B">
      <w:pPr>
        <w:pBdr>
          <w:top w:val="nil"/>
          <w:left w:val="nil"/>
          <w:bottom w:val="nil"/>
          <w:right w:val="nil"/>
          <w:between w:val="nil"/>
        </w:pBdr>
        <w:tabs>
          <w:tab w:val="left" w:pos="1307"/>
        </w:tabs>
        <w:jc w:val="both"/>
      </w:pPr>
      <w:r>
        <w:t xml:space="preserve">URBIS est une </w:t>
      </w:r>
      <w:r w:rsidRPr="00BC173E">
        <w:rPr>
          <w:b/>
          <w:bCs/>
        </w:rPr>
        <w:t xml:space="preserve">plateforme de services de conseil spécialisés en matière d’investissements urbains </w:t>
      </w:r>
      <w:r w:rsidRPr="00C250FC">
        <w:t xml:space="preserve">qui a pour mission de conseiller les autorités </w:t>
      </w:r>
      <w:r w:rsidR="00EC1984">
        <w:t>urbaines</w:t>
      </w:r>
      <w:r w:rsidR="00EC1984" w:rsidRPr="00C250FC">
        <w:t xml:space="preserve"> </w:t>
      </w:r>
      <w:r w:rsidRPr="00C250FC">
        <w:t>afin de faciliter, d’accélérer et de mobiliser des projets, des programmes et des pôles d’investissement en faveur des villes.</w:t>
      </w:r>
    </w:p>
    <w:p w14:paraId="535D7DCF" w14:textId="77777777" w:rsidR="00BC173E" w:rsidRDefault="00BC173E" w:rsidP="00CD051B">
      <w:pPr>
        <w:pBdr>
          <w:top w:val="nil"/>
          <w:left w:val="nil"/>
          <w:bottom w:val="nil"/>
          <w:right w:val="nil"/>
          <w:between w:val="nil"/>
        </w:pBdr>
        <w:tabs>
          <w:tab w:val="left" w:pos="1307"/>
        </w:tabs>
        <w:jc w:val="both"/>
      </w:pPr>
    </w:p>
    <w:p w14:paraId="44B04AA9" w14:textId="77777777" w:rsidR="00BC173E" w:rsidRDefault="00BC173E" w:rsidP="00CD051B">
      <w:pPr>
        <w:pBdr>
          <w:top w:val="nil"/>
          <w:left w:val="nil"/>
          <w:bottom w:val="nil"/>
          <w:right w:val="nil"/>
          <w:between w:val="nil"/>
        </w:pBdr>
        <w:tabs>
          <w:tab w:val="left" w:pos="1307"/>
        </w:tabs>
        <w:jc w:val="both"/>
      </w:pPr>
      <w:r>
        <w:t>L’appui proposé par URBIS peut par exemple être :</w:t>
      </w:r>
    </w:p>
    <w:p w14:paraId="3A2D14C7" w14:textId="77777777" w:rsidR="00BC173E" w:rsidRDefault="00BC173E" w:rsidP="00825859">
      <w:pPr>
        <w:pStyle w:val="Paragraphedeliste"/>
        <w:numPr>
          <w:ilvl w:val="0"/>
          <w:numId w:val="26"/>
        </w:numPr>
        <w:pBdr>
          <w:top w:val="nil"/>
          <w:left w:val="nil"/>
          <w:bottom w:val="nil"/>
          <w:right w:val="nil"/>
          <w:between w:val="nil"/>
        </w:pBdr>
        <w:tabs>
          <w:tab w:val="left" w:pos="1307"/>
        </w:tabs>
        <w:jc w:val="both"/>
      </w:pPr>
      <w:r>
        <w:t>Un soutien au développement ou à l’amélioration de la stratégie d’investissement d’une ville : conseil en planification stratégique, priorisation, optimisation des programmes d’investissement et des projets ;</w:t>
      </w:r>
    </w:p>
    <w:p w14:paraId="6E82F8E5" w14:textId="77777777" w:rsidR="00BC173E" w:rsidRDefault="00BC173E" w:rsidP="00825859">
      <w:pPr>
        <w:pStyle w:val="Paragraphedeliste"/>
        <w:numPr>
          <w:ilvl w:val="0"/>
          <w:numId w:val="26"/>
        </w:numPr>
        <w:pBdr>
          <w:top w:val="nil"/>
          <w:left w:val="nil"/>
          <w:bottom w:val="nil"/>
          <w:right w:val="nil"/>
          <w:between w:val="nil"/>
        </w:pBdr>
        <w:tabs>
          <w:tab w:val="left" w:pos="1307"/>
        </w:tabs>
        <w:jc w:val="both"/>
      </w:pPr>
      <w:r>
        <w:t>Des conseils sur le recours et l’utilisation combinée de plusieurs sources de financement, y compris les FESI et les financements de l’EIB.</w:t>
      </w:r>
    </w:p>
    <w:p w14:paraId="31936AE5" w14:textId="77777777" w:rsidR="00BC173E" w:rsidRDefault="00BC173E" w:rsidP="00825859">
      <w:pPr>
        <w:pStyle w:val="Paragraphedeliste"/>
        <w:numPr>
          <w:ilvl w:val="0"/>
          <w:numId w:val="26"/>
        </w:numPr>
        <w:pBdr>
          <w:top w:val="nil"/>
          <w:left w:val="nil"/>
          <w:bottom w:val="nil"/>
          <w:right w:val="nil"/>
          <w:between w:val="nil"/>
        </w:pBdr>
        <w:tabs>
          <w:tab w:val="left" w:pos="1307"/>
        </w:tabs>
        <w:jc w:val="both"/>
      </w:pPr>
      <w:r>
        <w:t>Aider les villes à combler les lacunes spécifiques dans la préparation des projets/programmes d'investissement afin d'amener un projet/programme d'investissement à un stade bancable ;</w:t>
      </w:r>
    </w:p>
    <w:p w14:paraId="7F7896D9" w14:textId="77777777" w:rsidR="00BC173E" w:rsidRDefault="00BC173E" w:rsidP="00825859">
      <w:pPr>
        <w:pStyle w:val="Paragraphedeliste"/>
        <w:numPr>
          <w:ilvl w:val="0"/>
          <w:numId w:val="26"/>
        </w:numPr>
        <w:pBdr>
          <w:top w:val="nil"/>
          <w:left w:val="nil"/>
          <w:bottom w:val="nil"/>
          <w:right w:val="nil"/>
          <w:between w:val="nil"/>
        </w:pBdr>
        <w:tabs>
          <w:tab w:val="left" w:pos="1307"/>
        </w:tabs>
        <w:jc w:val="both"/>
      </w:pPr>
      <w:r>
        <w:t>Des études de marché et de faisabilité pour des plateformes d’investissements, ou d’autres dispositifs de financement ;</w:t>
      </w:r>
    </w:p>
    <w:p w14:paraId="504003DC" w14:textId="77777777" w:rsidR="00BC173E" w:rsidRDefault="00BC173E" w:rsidP="00825859">
      <w:pPr>
        <w:pStyle w:val="Paragraphedeliste"/>
        <w:numPr>
          <w:ilvl w:val="0"/>
          <w:numId w:val="26"/>
        </w:numPr>
        <w:pBdr>
          <w:top w:val="nil"/>
          <w:left w:val="nil"/>
          <w:bottom w:val="nil"/>
          <w:right w:val="nil"/>
          <w:between w:val="nil"/>
        </w:pBdr>
        <w:tabs>
          <w:tab w:val="left" w:pos="1307"/>
        </w:tabs>
        <w:jc w:val="both"/>
      </w:pPr>
      <w:r>
        <w:t>Un soutien à la conception de solutions financières pour répondre aux besoins en investissement ;</w:t>
      </w:r>
    </w:p>
    <w:p w14:paraId="42E0E0AB" w14:textId="77777777" w:rsidR="00BC173E" w:rsidRDefault="00BC173E" w:rsidP="00825859">
      <w:pPr>
        <w:pStyle w:val="Paragraphedeliste"/>
        <w:numPr>
          <w:ilvl w:val="0"/>
          <w:numId w:val="26"/>
        </w:numPr>
        <w:pBdr>
          <w:top w:val="nil"/>
          <w:left w:val="nil"/>
          <w:bottom w:val="nil"/>
          <w:right w:val="nil"/>
          <w:between w:val="nil"/>
        </w:pBdr>
        <w:tabs>
          <w:tab w:val="left" w:pos="1307"/>
        </w:tabs>
        <w:jc w:val="both"/>
      </w:pPr>
      <w:r>
        <w:t>Un soutien à la sélection d’intermédiaires financiers pour des plateformes d’investissement.</w:t>
      </w:r>
    </w:p>
    <w:p w14:paraId="4817E07B" w14:textId="77777777" w:rsidR="00BC173E" w:rsidRDefault="00BC173E" w:rsidP="00BC173E">
      <w:pPr>
        <w:pBdr>
          <w:top w:val="nil"/>
          <w:left w:val="nil"/>
          <w:bottom w:val="nil"/>
          <w:right w:val="nil"/>
          <w:between w:val="nil"/>
        </w:pBdr>
        <w:tabs>
          <w:tab w:val="left" w:pos="1307"/>
        </w:tabs>
        <w:jc w:val="both"/>
      </w:pPr>
    </w:p>
    <w:p w14:paraId="570B98C9" w14:textId="46F46957" w:rsidR="00BC173E" w:rsidRDefault="00BC173E" w:rsidP="00BC173E">
      <w:pPr>
        <w:pBdr>
          <w:top w:val="nil"/>
          <w:left w:val="nil"/>
          <w:bottom w:val="nil"/>
          <w:right w:val="nil"/>
          <w:between w:val="nil"/>
        </w:pBdr>
        <w:tabs>
          <w:tab w:val="left" w:pos="1307"/>
        </w:tabs>
        <w:jc w:val="both"/>
      </w:pPr>
      <w:r>
        <w:t xml:space="preserve">Ce dispositif s’adresse </w:t>
      </w:r>
      <w:r w:rsidRPr="00692984">
        <w:rPr>
          <w:b/>
          <w:bCs/>
        </w:rPr>
        <w:t xml:space="preserve">aux autorités </w:t>
      </w:r>
      <w:r w:rsidR="00EC1984">
        <w:rPr>
          <w:b/>
          <w:bCs/>
        </w:rPr>
        <w:t>urbaines</w:t>
      </w:r>
      <w:r w:rsidRPr="00692984">
        <w:rPr>
          <w:b/>
          <w:bCs/>
        </w:rPr>
        <w:t xml:space="preserve"> de toute taille en Europe</w:t>
      </w:r>
      <w:r>
        <w:t>. Il privilégiera les demandes d’appui liées à des stratégies</w:t>
      </w:r>
      <w:r w:rsidR="00692984">
        <w:t xml:space="preserve"> d’investissement durables. Plus précisément, pour être éligible, la demande d’appui devra concerner :</w:t>
      </w:r>
    </w:p>
    <w:p w14:paraId="72F14982" w14:textId="77777777" w:rsidR="00692984" w:rsidRDefault="00692984" w:rsidP="00825859">
      <w:pPr>
        <w:pStyle w:val="Paragraphedeliste"/>
        <w:numPr>
          <w:ilvl w:val="0"/>
          <w:numId w:val="27"/>
        </w:numPr>
        <w:pBdr>
          <w:top w:val="nil"/>
          <w:left w:val="nil"/>
          <w:bottom w:val="nil"/>
          <w:right w:val="nil"/>
          <w:between w:val="nil"/>
        </w:pBdr>
        <w:tabs>
          <w:tab w:val="left" w:pos="1307"/>
        </w:tabs>
        <w:jc w:val="both"/>
      </w:pPr>
      <w:r>
        <w:t>Des investissements urbains durables, tels que décris dans l’agenda urbain européen ;</w:t>
      </w:r>
    </w:p>
    <w:p w14:paraId="2D9DEF0C" w14:textId="77777777" w:rsidR="00692984" w:rsidRDefault="00692984" w:rsidP="00825859">
      <w:pPr>
        <w:pStyle w:val="Paragraphedeliste"/>
        <w:numPr>
          <w:ilvl w:val="0"/>
          <w:numId w:val="27"/>
        </w:numPr>
        <w:pBdr>
          <w:top w:val="nil"/>
          <w:left w:val="nil"/>
          <w:bottom w:val="nil"/>
          <w:right w:val="nil"/>
          <w:between w:val="nil"/>
        </w:pBdr>
        <w:tabs>
          <w:tab w:val="left" w:pos="1307"/>
        </w:tabs>
        <w:jc w:val="both"/>
      </w:pPr>
      <w:r>
        <w:t>Des programmes intégrés d’investissement urbains, dotés d’un horizon temporel à 3 ou 5 ans, et d’un montant d’au moins 20M€. La demande d’appui peut aussi concerner des projets individuels s’ils sont d’un volume suffisamment important, de plus de 20M€.</w:t>
      </w:r>
    </w:p>
    <w:p w14:paraId="1EE86BB7" w14:textId="77777777" w:rsidR="00692984" w:rsidRDefault="00692984" w:rsidP="00825859">
      <w:pPr>
        <w:pStyle w:val="Paragraphedeliste"/>
        <w:numPr>
          <w:ilvl w:val="0"/>
          <w:numId w:val="27"/>
        </w:numPr>
        <w:pBdr>
          <w:top w:val="nil"/>
          <w:left w:val="nil"/>
          <w:bottom w:val="nil"/>
          <w:right w:val="nil"/>
          <w:between w:val="nil"/>
        </w:pBdr>
        <w:tabs>
          <w:tab w:val="left" w:pos="1307"/>
        </w:tabs>
        <w:jc w:val="both"/>
      </w:pPr>
      <w:r>
        <w:t>Un besoin d’assistance auquel il ne peut par ailleurs pas être répondu par d’autres mécanismes d’assistance technique.</w:t>
      </w:r>
    </w:p>
    <w:p w14:paraId="5579027A" w14:textId="77777777" w:rsidR="00692984" w:rsidRDefault="00692984" w:rsidP="00825859">
      <w:pPr>
        <w:pStyle w:val="Paragraphedeliste"/>
        <w:numPr>
          <w:ilvl w:val="0"/>
          <w:numId w:val="27"/>
        </w:numPr>
        <w:pBdr>
          <w:top w:val="nil"/>
          <w:left w:val="nil"/>
          <w:bottom w:val="nil"/>
          <w:right w:val="nil"/>
          <w:between w:val="nil"/>
        </w:pBdr>
        <w:tabs>
          <w:tab w:val="left" w:pos="1307"/>
        </w:tabs>
        <w:jc w:val="both"/>
      </w:pPr>
      <w:r>
        <w:t>Le projet ou programme doit impliquer la mobilisation de différentes sources de financement ou être réplicable dans d’autres zones urbaines.</w:t>
      </w:r>
    </w:p>
    <w:p w14:paraId="1E60E89A" w14:textId="77777777" w:rsidR="00692984" w:rsidRDefault="00692984" w:rsidP="00692984">
      <w:pPr>
        <w:pBdr>
          <w:top w:val="nil"/>
          <w:left w:val="nil"/>
          <w:bottom w:val="nil"/>
          <w:right w:val="nil"/>
          <w:between w:val="nil"/>
        </w:pBdr>
        <w:tabs>
          <w:tab w:val="left" w:pos="1307"/>
        </w:tabs>
        <w:jc w:val="both"/>
      </w:pPr>
    </w:p>
    <w:p w14:paraId="06C80D1A" w14:textId="77777777" w:rsidR="00692984" w:rsidRDefault="00692984" w:rsidP="00692984">
      <w:pPr>
        <w:pBdr>
          <w:top w:val="nil"/>
          <w:left w:val="nil"/>
          <w:bottom w:val="nil"/>
          <w:right w:val="nil"/>
          <w:between w:val="nil"/>
        </w:pBdr>
        <w:tabs>
          <w:tab w:val="left" w:pos="1307"/>
        </w:tabs>
        <w:jc w:val="both"/>
      </w:pPr>
      <w:r>
        <w:t xml:space="preserve">Pour solliciter ce dispositif, compléter le </w:t>
      </w:r>
      <w:hyperlink r:id="rId67" w:history="1">
        <w:r w:rsidRPr="00692984">
          <w:rPr>
            <w:rStyle w:val="Lienhypertexte"/>
          </w:rPr>
          <w:t>formulaire de demande</w:t>
        </w:r>
      </w:hyperlink>
      <w:r>
        <w:t xml:space="preserve"> (en anglais) qui comporte une description des besoins d’assistance et du projet/programme/plateforme d’investissement à assister.</w:t>
      </w:r>
    </w:p>
    <w:p w14:paraId="43AB57EA" w14:textId="77777777" w:rsidR="00692984" w:rsidRDefault="00692984" w:rsidP="00692984">
      <w:pPr>
        <w:pBdr>
          <w:top w:val="nil"/>
          <w:left w:val="nil"/>
          <w:bottom w:val="nil"/>
          <w:right w:val="nil"/>
          <w:between w:val="nil"/>
        </w:pBdr>
        <w:tabs>
          <w:tab w:val="left" w:pos="1307"/>
        </w:tabs>
        <w:jc w:val="both"/>
      </w:pPr>
    </w:p>
    <w:p w14:paraId="1F589210" w14:textId="77777777" w:rsidR="00692984" w:rsidRDefault="00692984" w:rsidP="00692984">
      <w:pPr>
        <w:pBdr>
          <w:top w:val="nil"/>
          <w:left w:val="nil"/>
          <w:bottom w:val="nil"/>
          <w:right w:val="nil"/>
          <w:between w:val="nil"/>
        </w:pBdr>
        <w:tabs>
          <w:tab w:val="left" w:pos="1307"/>
        </w:tabs>
        <w:jc w:val="both"/>
      </w:pPr>
      <w:r>
        <w:t xml:space="preserve">Plus d’informations sur la </w:t>
      </w:r>
      <w:hyperlink r:id="rId68" w:anchor="_ftn1" w:history="1">
        <w:r w:rsidRPr="00692984">
          <w:rPr>
            <w:rStyle w:val="Lienhypertexte"/>
          </w:rPr>
          <w:t>page de présentation d’URBIS</w:t>
        </w:r>
      </w:hyperlink>
      <w:r>
        <w:t xml:space="preserve"> de l’EIAH.</w:t>
      </w:r>
    </w:p>
    <w:p w14:paraId="23E8326D" w14:textId="77777777" w:rsidR="00BC173E" w:rsidRDefault="00BC173E" w:rsidP="00BC173E">
      <w:pPr>
        <w:pBdr>
          <w:top w:val="nil"/>
          <w:left w:val="nil"/>
          <w:bottom w:val="nil"/>
          <w:right w:val="nil"/>
          <w:between w:val="nil"/>
        </w:pBdr>
        <w:tabs>
          <w:tab w:val="left" w:pos="1307"/>
        </w:tabs>
        <w:jc w:val="both"/>
      </w:pPr>
    </w:p>
    <w:p w14:paraId="1DE3456F" w14:textId="297A0DFE" w:rsidR="00B8338D" w:rsidRPr="00B8338D" w:rsidRDefault="00B8338D" w:rsidP="00B8338D">
      <w:pPr>
        <w:pStyle w:val="Style1"/>
      </w:pPr>
      <w:r w:rsidRPr="00B8338D">
        <w:t>ELENA – Mécanisme européen d’assistance technique pour les projets d’efficacité énergétique locaux</w:t>
      </w:r>
      <w:r w:rsidR="004D7DCD">
        <w:t xml:space="preserve"> – cible</w:t>
      </w:r>
      <w:r w:rsidR="00FD400A">
        <w:t xml:space="preserve"> = </w:t>
      </w:r>
      <w:r w:rsidR="002A4E0D">
        <w:t xml:space="preserve">projets </w:t>
      </w:r>
      <w:r w:rsidR="00EC1984">
        <w:t>efficacité énergétique</w:t>
      </w:r>
      <w:r w:rsidR="002A4E0D">
        <w:t xml:space="preserve"> et transport / mobilité urbaine</w:t>
      </w:r>
    </w:p>
    <w:p w14:paraId="32EB71E4" w14:textId="77777777" w:rsidR="002A73FE" w:rsidRDefault="002A73FE" w:rsidP="00CD051B">
      <w:pPr>
        <w:pBdr>
          <w:top w:val="nil"/>
          <w:left w:val="nil"/>
          <w:bottom w:val="nil"/>
          <w:right w:val="nil"/>
          <w:between w:val="nil"/>
        </w:pBdr>
        <w:tabs>
          <w:tab w:val="left" w:pos="1307"/>
        </w:tabs>
        <w:jc w:val="both"/>
      </w:pPr>
    </w:p>
    <w:p w14:paraId="0D7D0502" w14:textId="77777777" w:rsidR="00B8338D" w:rsidRDefault="004A4AAA" w:rsidP="00CD051B">
      <w:pPr>
        <w:pBdr>
          <w:top w:val="nil"/>
          <w:left w:val="nil"/>
          <w:bottom w:val="nil"/>
          <w:right w:val="nil"/>
          <w:between w:val="nil"/>
        </w:pBdr>
        <w:tabs>
          <w:tab w:val="left" w:pos="1307"/>
        </w:tabs>
        <w:jc w:val="both"/>
      </w:pPr>
      <w:r w:rsidRPr="004A4AAA">
        <w:t>Le mécanisme ELENA fournit une assistance technique pour les</w:t>
      </w:r>
      <w:r w:rsidR="005B2BBF">
        <w:t xml:space="preserve"> programmes d’</w:t>
      </w:r>
      <w:r w:rsidRPr="004A4AAA">
        <w:t>investissements en faveur de l’efficacité énergétique et des énergies renouvelables dans le bâti et les transports urbains innovants.</w:t>
      </w:r>
      <w:r w:rsidR="001B6563">
        <w:t xml:space="preserve"> </w:t>
      </w:r>
      <w:r>
        <w:t xml:space="preserve"> Sont éligibles à ce dispositif :</w:t>
      </w:r>
    </w:p>
    <w:p w14:paraId="1035D4A7" w14:textId="77777777" w:rsidR="004A4AAA" w:rsidRDefault="004A4AAA" w:rsidP="00825859">
      <w:pPr>
        <w:pStyle w:val="Paragraphedeliste"/>
        <w:numPr>
          <w:ilvl w:val="0"/>
          <w:numId w:val="28"/>
        </w:numPr>
        <w:pBdr>
          <w:top w:val="nil"/>
          <w:left w:val="nil"/>
          <w:bottom w:val="nil"/>
          <w:right w:val="nil"/>
          <w:between w:val="nil"/>
        </w:pBdr>
        <w:tabs>
          <w:tab w:val="left" w:pos="1307"/>
        </w:tabs>
        <w:jc w:val="both"/>
      </w:pPr>
      <w:r>
        <w:t>Le secteur public : Etat, administrations, collectivités locales, entreprises publiques, institutions financières ;</w:t>
      </w:r>
    </w:p>
    <w:p w14:paraId="7C2BC39C" w14:textId="77777777" w:rsidR="004A4AAA" w:rsidRDefault="004A4AAA" w:rsidP="00825859">
      <w:pPr>
        <w:pStyle w:val="Paragraphedeliste"/>
        <w:numPr>
          <w:ilvl w:val="0"/>
          <w:numId w:val="28"/>
        </w:numPr>
        <w:pBdr>
          <w:top w:val="nil"/>
          <w:left w:val="nil"/>
          <w:bottom w:val="nil"/>
          <w:right w:val="nil"/>
          <w:between w:val="nil"/>
        </w:pBdr>
        <w:tabs>
          <w:tab w:val="left" w:pos="1307"/>
        </w:tabs>
        <w:jc w:val="both"/>
      </w:pPr>
      <w:r>
        <w:t>Le secteur privé : entités privées prévoyant de développer et soutenir des investissements éligibles (associations, S</w:t>
      </w:r>
      <w:r w:rsidR="008B7291">
        <w:t>EM, banques, etc.) ou autres associations privées (organismes de logement social ou associations de propriétaires). Il est à noter que les projets d’assistance technique relevant d’ELENA ne doivent pas être à but lucratif.</w:t>
      </w:r>
    </w:p>
    <w:p w14:paraId="35FC39AC" w14:textId="77777777" w:rsidR="008B7291" w:rsidRDefault="008B7291" w:rsidP="008B7291">
      <w:pPr>
        <w:pBdr>
          <w:top w:val="nil"/>
          <w:left w:val="nil"/>
          <w:bottom w:val="nil"/>
          <w:right w:val="nil"/>
          <w:between w:val="nil"/>
        </w:pBdr>
        <w:tabs>
          <w:tab w:val="left" w:pos="1307"/>
        </w:tabs>
        <w:jc w:val="both"/>
      </w:pPr>
    </w:p>
    <w:p w14:paraId="283D5B05" w14:textId="77777777" w:rsidR="008B7291" w:rsidRDefault="00A67511" w:rsidP="008B7291">
      <w:pPr>
        <w:pBdr>
          <w:top w:val="nil"/>
          <w:left w:val="nil"/>
          <w:bottom w:val="nil"/>
          <w:right w:val="nil"/>
          <w:between w:val="nil"/>
        </w:pBdr>
        <w:tabs>
          <w:tab w:val="left" w:pos="1307"/>
        </w:tabs>
        <w:jc w:val="both"/>
      </w:pPr>
      <w:r>
        <w:lastRenderedPageBreak/>
        <w:t>Les subventions d’ELENA doivent permettre de financer les actions suivantes :</w:t>
      </w:r>
    </w:p>
    <w:p w14:paraId="54D998FF" w14:textId="77777777" w:rsidR="00A67511" w:rsidRDefault="00A67511" w:rsidP="00825859">
      <w:pPr>
        <w:pStyle w:val="Paragraphedeliste"/>
        <w:numPr>
          <w:ilvl w:val="0"/>
          <w:numId w:val="29"/>
        </w:numPr>
        <w:pBdr>
          <w:top w:val="nil"/>
          <w:left w:val="nil"/>
          <w:bottom w:val="nil"/>
          <w:right w:val="nil"/>
          <w:between w:val="nil"/>
        </w:pBdr>
        <w:tabs>
          <w:tab w:val="left" w:pos="1307"/>
        </w:tabs>
        <w:jc w:val="both"/>
      </w:pPr>
      <w:r>
        <w:t>Etudes techniques, audits énergétiques,</w:t>
      </w:r>
    </w:p>
    <w:p w14:paraId="3ACF41BC" w14:textId="77777777" w:rsidR="00A67511" w:rsidRDefault="00A67511" w:rsidP="00825859">
      <w:pPr>
        <w:pStyle w:val="Paragraphedeliste"/>
        <w:numPr>
          <w:ilvl w:val="0"/>
          <w:numId w:val="29"/>
        </w:numPr>
        <w:pBdr>
          <w:top w:val="nil"/>
          <w:left w:val="nil"/>
          <w:bottom w:val="nil"/>
          <w:right w:val="nil"/>
          <w:between w:val="nil"/>
        </w:pBdr>
        <w:tabs>
          <w:tab w:val="left" w:pos="1307"/>
        </w:tabs>
        <w:jc w:val="both"/>
      </w:pPr>
      <w:r>
        <w:rPr>
          <w:i/>
          <w:iCs/>
        </w:rPr>
        <w:t>Business plans</w:t>
      </w:r>
      <w:r>
        <w:t>, et conseils financiers</w:t>
      </w:r>
    </w:p>
    <w:p w14:paraId="3C198DA2" w14:textId="77777777" w:rsidR="00A67511" w:rsidRDefault="00A67511" w:rsidP="00825859">
      <w:pPr>
        <w:pStyle w:val="Paragraphedeliste"/>
        <w:numPr>
          <w:ilvl w:val="0"/>
          <w:numId w:val="29"/>
        </w:numPr>
        <w:pBdr>
          <w:top w:val="nil"/>
          <w:left w:val="nil"/>
          <w:bottom w:val="nil"/>
          <w:right w:val="nil"/>
          <w:between w:val="nil"/>
        </w:pBdr>
        <w:tabs>
          <w:tab w:val="left" w:pos="1307"/>
        </w:tabs>
        <w:jc w:val="both"/>
      </w:pPr>
      <w:r>
        <w:t>Conseils juridiques</w:t>
      </w:r>
    </w:p>
    <w:p w14:paraId="3B5B4C81" w14:textId="77777777" w:rsidR="00A67511" w:rsidRDefault="00A67511" w:rsidP="00825859">
      <w:pPr>
        <w:pStyle w:val="Paragraphedeliste"/>
        <w:numPr>
          <w:ilvl w:val="0"/>
          <w:numId w:val="29"/>
        </w:numPr>
        <w:pBdr>
          <w:top w:val="nil"/>
          <w:left w:val="nil"/>
          <w:bottom w:val="nil"/>
          <w:right w:val="nil"/>
          <w:between w:val="nil"/>
        </w:pBdr>
        <w:tabs>
          <w:tab w:val="left" w:pos="1307"/>
        </w:tabs>
        <w:jc w:val="both"/>
      </w:pPr>
      <w:r>
        <w:t>Préparation de procédures d’appels d’offres</w:t>
      </w:r>
    </w:p>
    <w:p w14:paraId="3892C3BC" w14:textId="77777777" w:rsidR="00A67511" w:rsidRDefault="00A67511" w:rsidP="00825859">
      <w:pPr>
        <w:pStyle w:val="Paragraphedeliste"/>
        <w:numPr>
          <w:ilvl w:val="0"/>
          <w:numId w:val="29"/>
        </w:numPr>
        <w:pBdr>
          <w:top w:val="nil"/>
          <w:left w:val="nil"/>
          <w:bottom w:val="nil"/>
          <w:right w:val="nil"/>
          <w:between w:val="nil"/>
        </w:pBdr>
        <w:tabs>
          <w:tab w:val="left" w:pos="1307"/>
        </w:tabs>
        <w:jc w:val="both"/>
      </w:pPr>
      <w:r>
        <w:t>Regroupement de projets</w:t>
      </w:r>
    </w:p>
    <w:p w14:paraId="716BD916" w14:textId="77777777" w:rsidR="00A67511" w:rsidRDefault="00A67511" w:rsidP="00825859">
      <w:pPr>
        <w:pStyle w:val="Paragraphedeliste"/>
        <w:numPr>
          <w:ilvl w:val="0"/>
          <w:numId w:val="29"/>
        </w:numPr>
        <w:pBdr>
          <w:top w:val="nil"/>
          <w:left w:val="nil"/>
          <w:bottom w:val="nil"/>
          <w:right w:val="nil"/>
          <w:between w:val="nil"/>
        </w:pBdr>
        <w:tabs>
          <w:tab w:val="left" w:pos="1307"/>
        </w:tabs>
        <w:jc w:val="both"/>
      </w:pPr>
      <w:r>
        <w:t>Gestion de projets</w:t>
      </w:r>
      <w:r w:rsidR="006C27DA">
        <w:t>.</w:t>
      </w:r>
    </w:p>
    <w:p w14:paraId="5174205F" w14:textId="4089D136" w:rsidR="006C27DA" w:rsidRDefault="006C27DA" w:rsidP="006C27DA">
      <w:pPr>
        <w:pBdr>
          <w:top w:val="nil"/>
          <w:left w:val="nil"/>
          <w:bottom w:val="nil"/>
          <w:right w:val="nil"/>
          <w:between w:val="nil"/>
        </w:pBdr>
        <w:tabs>
          <w:tab w:val="left" w:pos="1307"/>
        </w:tabs>
        <w:jc w:val="both"/>
      </w:pPr>
    </w:p>
    <w:p w14:paraId="022BE85A" w14:textId="2264F919" w:rsidR="00FE7BB1" w:rsidRDefault="00FE7BB1" w:rsidP="006C27DA">
      <w:pPr>
        <w:pBdr>
          <w:top w:val="nil"/>
          <w:left w:val="nil"/>
          <w:bottom w:val="nil"/>
          <w:right w:val="nil"/>
          <w:between w:val="nil"/>
        </w:pBdr>
        <w:tabs>
          <w:tab w:val="left" w:pos="1307"/>
        </w:tabs>
        <w:jc w:val="both"/>
      </w:pPr>
      <w:r>
        <w:t>ELENA peut par exemple consister en un soutien aux guichets uniques (</w:t>
      </w:r>
      <w:r>
        <w:rPr>
          <w:i/>
          <w:iCs/>
        </w:rPr>
        <w:t>one stop shop</w:t>
      </w:r>
      <w:r>
        <w:t>) (NB : ce soutien ne porte pas sur le financement de frais de déplacement ou de frais généraux).</w:t>
      </w:r>
    </w:p>
    <w:p w14:paraId="16B50322" w14:textId="3945FB08" w:rsidR="00FE7BB1" w:rsidRDefault="00FE7BB1" w:rsidP="006C27DA">
      <w:pPr>
        <w:pBdr>
          <w:top w:val="nil"/>
          <w:left w:val="nil"/>
          <w:bottom w:val="nil"/>
          <w:right w:val="nil"/>
          <w:between w:val="nil"/>
        </w:pBdr>
        <w:tabs>
          <w:tab w:val="left" w:pos="1307"/>
        </w:tabs>
        <w:jc w:val="both"/>
      </w:pPr>
    </w:p>
    <w:p w14:paraId="4CBC26EA" w14:textId="6BEB3BFB" w:rsidR="00FE7BB1" w:rsidRDefault="00FE7BB1" w:rsidP="006C27DA">
      <w:pPr>
        <w:pBdr>
          <w:top w:val="nil"/>
          <w:left w:val="nil"/>
          <w:bottom w:val="nil"/>
          <w:right w:val="nil"/>
          <w:between w:val="nil"/>
        </w:pBdr>
        <w:tabs>
          <w:tab w:val="left" w:pos="1307"/>
        </w:tabs>
        <w:jc w:val="both"/>
      </w:pPr>
      <w:r>
        <w:t>L’effet levier constaté sur ce dispositif est significatif, avec un effet levier moyen de 34 depuis 2009.</w:t>
      </w:r>
    </w:p>
    <w:p w14:paraId="3A68F05D" w14:textId="66D9F414" w:rsidR="00FE7BB1" w:rsidRDefault="00FE7BB1" w:rsidP="006C27DA">
      <w:pPr>
        <w:pBdr>
          <w:top w:val="nil"/>
          <w:left w:val="nil"/>
          <w:bottom w:val="nil"/>
          <w:right w:val="nil"/>
          <w:between w:val="nil"/>
        </w:pBdr>
        <w:tabs>
          <w:tab w:val="left" w:pos="1307"/>
        </w:tabs>
        <w:jc w:val="both"/>
      </w:pPr>
    </w:p>
    <w:p w14:paraId="52758A5E" w14:textId="377389DB" w:rsidR="00FE7BB1" w:rsidRPr="00FE7BB1" w:rsidRDefault="00FE7BB1" w:rsidP="006C27DA">
      <w:pPr>
        <w:pBdr>
          <w:top w:val="nil"/>
          <w:left w:val="nil"/>
          <w:bottom w:val="nil"/>
          <w:right w:val="nil"/>
          <w:between w:val="nil"/>
        </w:pBdr>
        <w:tabs>
          <w:tab w:val="left" w:pos="1307"/>
        </w:tabs>
        <w:jc w:val="both"/>
      </w:pPr>
      <w:r>
        <w:t>Il est à noter que le bénéfice de ce soutien implique une obligation contractualisée de performance</w:t>
      </w:r>
      <w:r w:rsidR="00EC1984">
        <w:t xml:space="preserve"> : si </w:t>
      </w:r>
      <w:proofErr w:type="gramStart"/>
      <w:r w:rsidR="00EC1984">
        <w:t>le investissements étudiés</w:t>
      </w:r>
      <w:proofErr w:type="gramEnd"/>
      <w:r w:rsidR="00EC1984">
        <w:t xml:space="preserve"> à l’occasion de la phase d’assistance technique accompagnée par ELENA ne sont pas validés, la subvention ELENA peut être retirée. Il est à noter que des investissements validés grâce à l’assistance technique d’ELENA n’impliquent pas obligatoirement un recours à la BEI pour financer ceux-ci.</w:t>
      </w:r>
    </w:p>
    <w:p w14:paraId="70F6A0F5" w14:textId="77777777" w:rsidR="00FE7BB1" w:rsidRDefault="00FE7BB1" w:rsidP="006C27DA">
      <w:pPr>
        <w:pBdr>
          <w:top w:val="nil"/>
          <w:left w:val="nil"/>
          <w:bottom w:val="nil"/>
          <w:right w:val="nil"/>
          <w:between w:val="nil"/>
        </w:pBdr>
        <w:tabs>
          <w:tab w:val="left" w:pos="1307"/>
        </w:tabs>
        <w:jc w:val="both"/>
      </w:pPr>
    </w:p>
    <w:tbl>
      <w:tblPr>
        <w:tblStyle w:val="Grilledutableau"/>
        <w:tblW w:w="0" w:type="auto"/>
        <w:tblLook w:val="04A0" w:firstRow="1" w:lastRow="0" w:firstColumn="1" w:lastColumn="0" w:noHBand="0" w:noVBand="1"/>
      </w:tblPr>
      <w:tblGrid>
        <w:gridCol w:w="2689"/>
        <w:gridCol w:w="3260"/>
        <w:gridCol w:w="3822"/>
      </w:tblGrid>
      <w:tr w:rsidR="006C27DA" w14:paraId="07CBFA57" w14:textId="77777777" w:rsidTr="006C27DA">
        <w:tc>
          <w:tcPr>
            <w:tcW w:w="9771" w:type="dxa"/>
            <w:gridSpan w:val="3"/>
            <w:shd w:val="clear" w:color="auto" w:fill="5F497A" w:themeFill="accent4" w:themeFillShade="BF"/>
          </w:tcPr>
          <w:p w14:paraId="6F0AAE42" w14:textId="77777777" w:rsidR="006C27DA" w:rsidRPr="006C27DA" w:rsidRDefault="006C27DA" w:rsidP="006C27DA">
            <w:pPr>
              <w:tabs>
                <w:tab w:val="left" w:pos="1307"/>
              </w:tabs>
              <w:jc w:val="center"/>
              <w:rPr>
                <w:b/>
                <w:bCs/>
              </w:rPr>
            </w:pPr>
            <w:r w:rsidRPr="006C27DA">
              <w:rPr>
                <w:b/>
                <w:bCs/>
                <w:color w:val="FFFFFF" w:themeColor="background1"/>
              </w:rPr>
              <w:t>Secteurs concernés</w:t>
            </w:r>
            <w:r>
              <w:rPr>
                <w:b/>
                <w:bCs/>
                <w:color w:val="FFFFFF" w:themeColor="background1"/>
              </w:rPr>
              <w:t xml:space="preserve"> et critères d’éligibilité</w:t>
            </w:r>
          </w:p>
        </w:tc>
      </w:tr>
      <w:tr w:rsidR="006C27DA" w14:paraId="4ED144E9" w14:textId="77777777" w:rsidTr="005B2BBF">
        <w:tc>
          <w:tcPr>
            <w:tcW w:w="2689" w:type="dxa"/>
            <w:shd w:val="clear" w:color="auto" w:fill="CCC0D9" w:themeFill="accent4" w:themeFillTint="66"/>
          </w:tcPr>
          <w:p w14:paraId="374F7F7F" w14:textId="77777777" w:rsidR="006C27DA" w:rsidRPr="006C27DA" w:rsidRDefault="006C27DA" w:rsidP="006C27DA">
            <w:pPr>
              <w:tabs>
                <w:tab w:val="left" w:pos="1307"/>
              </w:tabs>
              <w:jc w:val="center"/>
              <w:rPr>
                <w:b/>
                <w:bCs/>
              </w:rPr>
            </w:pPr>
            <w:r w:rsidRPr="006C27DA">
              <w:rPr>
                <w:b/>
                <w:bCs/>
              </w:rPr>
              <w:t>Efficacité énergétique</w:t>
            </w:r>
          </w:p>
        </w:tc>
        <w:tc>
          <w:tcPr>
            <w:tcW w:w="3260" w:type="dxa"/>
            <w:shd w:val="clear" w:color="auto" w:fill="CCC0D9" w:themeFill="accent4" w:themeFillTint="66"/>
          </w:tcPr>
          <w:p w14:paraId="7FDB0532" w14:textId="77777777" w:rsidR="006C27DA" w:rsidRPr="006C27DA" w:rsidRDefault="006C27DA" w:rsidP="006C27DA">
            <w:pPr>
              <w:tabs>
                <w:tab w:val="left" w:pos="1307"/>
              </w:tabs>
              <w:jc w:val="center"/>
              <w:rPr>
                <w:b/>
                <w:bCs/>
              </w:rPr>
            </w:pPr>
            <w:r w:rsidRPr="006C27DA">
              <w:rPr>
                <w:b/>
                <w:bCs/>
              </w:rPr>
              <w:t>Résidentiel durable</w:t>
            </w:r>
          </w:p>
        </w:tc>
        <w:tc>
          <w:tcPr>
            <w:tcW w:w="3822" w:type="dxa"/>
            <w:shd w:val="clear" w:color="auto" w:fill="CCC0D9" w:themeFill="accent4" w:themeFillTint="66"/>
          </w:tcPr>
          <w:p w14:paraId="10635C1B" w14:textId="77777777" w:rsidR="006C27DA" w:rsidRPr="006C27DA" w:rsidRDefault="006C27DA" w:rsidP="006C27DA">
            <w:pPr>
              <w:tabs>
                <w:tab w:val="left" w:pos="1307"/>
              </w:tabs>
              <w:jc w:val="center"/>
              <w:rPr>
                <w:b/>
                <w:bCs/>
              </w:rPr>
            </w:pPr>
            <w:r w:rsidRPr="006C27DA">
              <w:rPr>
                <w:b/>
                <w:bCs/>
              </w:rPr>
              <w:t>Transport et mobilité en ville</w:t>
            </w:r>
          </w:p>
        </w:tc>
      </w:tr>
      <w:tr w:rsidR="006C27DA" w14:paraId="6202BC7E" w14:textId="77777777" w:rsidTr="005B2BBF">
        <w:tc>
          <w:tcPr>
            <w:tcW w:w="2689" w:type="dxa"/>
          </w:tcPr>
          <w:p w14:paraId="4D4D74F6" w14:textId="77777777" w:rsidR="006C27DA" w:rsidRPr="006C27DA" w:rsidRDefault="006C27DA" w:rsidP="006C27DA">
            <w:pPr>
              <w:tabs>
                <w:tab w:val="left" w:pos="1307"/>
              </w:tabs>
              <w:rPr>
                <w:sz w:val="20"/>
                <w:szCs w:val="20"/>
              </w:rPr>
            </w:pPr>
            <w:r w:rsidRPr="006C27DA">
              <w:rPr>
                <w:sz w:val="20"/>
                <w:szCs w:val="20"/>
              </w:rPr>
              <w:t>Soutien à l’élaboration de projets qui améliorent l'efficacité énergétique et favorisent le recours aux énergies renouvelables dans les bâtiments.</w:t>
            </w:r>
          </w:p>
        </w:tc>
        <w:tc>
          <w:tcPr>
            <w:tcW w:w="3260" w:type="dxa"/>
          </w:tcPr>
          <w:p w14:paraId="2F8CE4CC" w14:textId="77777777" w:rsidR="006C27DA" w:rsidRPr="006C27DA" w:rsidRDefault="006C27DA" w:rsidP="006C27DA">
            <w:pPr>
              <w:tabs>
                <w:tab w:val="left" w:pos="1307"/>
              </w:tabs>
              <w:rPr>
                <w:sz w:val="20"/>
                <w:szCs w:val="20"/>
              </w:rPr>
            </w:pPr>
            <w:r>
              <w:rPr>
                <w:sz w:val="20"/>
                <w:szCs w:val="20"/>
              </w:rPr>
              <w:t>Appui aux</w:t>
            </w:r>
            <w:r w:rsidRPr="006C27DA">
              <w:rPr>
                <w:sz w:val="20"/>
                <w:szCs w:val="20"/>
              </w:rPr>
              <w:t xml:space="preserve"> particuliers et </w:t>
            </w:r>
            <w:r>
              <w:rPr>
                <w:sz w:val="20"/>
                <w:szCs w:val="20"/>
              </w:rPr>
              <w:t xml:space="preserve">aux </w:t>
            </w:r>
            <w:r w:rsidRPr="006C27DA">
              <w:rPr>
                <w:sz w:val="20"/>
                <w:szCs w:val="20"/>
              </w:rPr>
              <w:t>associations de propriétaires à préparer et à réaliser des rénovations d'efficacité énergétique et des projets axés sur les énergies renouvelables dans les bâtiments résidentiels.</w:t>
            </w:r>
          </w:p>
        </w:tc>
        <w:tc>
          <w:tcPr>
            <w:tcW w:w="3822" w:type="dxa"/>
          </w:tcPr>
          <w:p w14:paraId="4B32415F" w14:textId="77777777" w:rsidR="006C27DA" w:rsidRPr="006C27DA" w:rsidRDefault="006C27DA" w:rsidP="006C27DA">
            <w:pPr>
              <w:tabs>
                <w:tab w:val="left" w:pos="1307"/>
              </w:tabs>
              <w:rPr>
                <w:sz w:val="20"/>
                <w:szCs w:val="20"/>
              </w:rPr>
            </w:pPr>
            <w:r>
              <w:rPr>
                <w:sz w:val="20"/>
                <w:szCs w:val="20"/>
              </w:rPr>
              <w:t>Appui aux</w:t>
            </w:r>
            <w:r w:rsidRPr="006C27DA">
              <w:rPr>
                <w:sz w:val="20"/>
                <w:szCs w:val="20"/>
              </w:rPr>
              <w:t xml:space="preserve"> projets innovants liés aux transports et à la mobilité dans les zones urbaines qui permettent de réaliser des économies d’énergie et de réduire les émissions.</w:t>
            </w:r>
          </w:p>
        </w:tc>
      </w:tr>
      <w:tr w:rsidR="006C27DA" w14:paraId="479F1120" w14:textId="77777777" w:rsidTr="005B2BBF">
        <w:tc>
          <w:tcPr>
            <w:tcW w:w="2689" w:type="dxa"/>
          </w:tcPr>
          <w:p w14:paraId="1E060597" w14:textId="77777777" w:rsidR="006C27DA" w:rsidRDefault="006C27DA" w:rsidP="00825859">
            <w:pPr>
              <w:pStyle w:val="Paragraphedeliste"/>
              <w:numPr>
                <w:ilvl w:val="0"/>
                <w:numId w:val="30"/>
              </w:numPr>
              <w:tabs>
                <w:tab w:val="left" w:pos="1307"/>
              </w:tabs>
              <w:rPr>
                <w:sz w:val="20"/>
                <w:szCs w:val="20"/>
              </w:rPr>
            </w:pPr>
            <w:r>
              <w:rPr>
                <w:sz w:val="20"/>
                <w:szCs w:val="20"/>
              </w:rPr>
              <w:t>Bâtiments résidentiels et non résidentiels</w:t>
            </w:r>
          </w:p>
          <w:p w14:paraId="68114732" w14:textId="77777777" w:rsidR="006C27DA" w:rsidRDefault="006C27DA" w:rsidP="00825859">
            <w:pPr>
              <w:pStyle w:val="Paragraphedeliste"/>
              <w:numPr>
                <w:ilvl w:val="0"/>
                <w:numId w:val="30"/>
              </w:numPr>
              <w:tabs>
                <w:tab w:val="left" w:pos="1307"/>
              </w:tabs>
              <w:rPr>
                <w:sz w:val="20"/>
                <w:szCs w:val="20"/>
              </w:rPr>
            </w:pPr>
            <w:proofErr w:type="spellStart"/>
            <w:r>
              <w:rPr>
                <w:sz w:val="20"/>
                <w:szCs w:val="20"/>
              </w:rPr>
              <w:t>EnR</w:t>
            </w:r>
            <w:proofErr w:type="spellEnd"/>
            <w:r>
              <w:rPr>
                <w:sz w:val="20"/>
                <w:szCs w:val="20"/>
              </w:rPr>
              <w:t xml:space="preserve"> dans le bâti</w:t>
            </w:r>
          </w:p>
          <w:p w14:paraId="79E54518" w14:textId="77777777" w:rsidR="006C27DA" w:rsidRDefault="006C27DA" w:rsidP="00825859">
            <w:pPr>
              <w:pStyle w:val="Paragraphedeliste"/>
              <w:numPr>
                <w:ilvl w:val="0"/>
                <w:numId w:val="30"/>
              </w:numPr>
              <w:tabs>
                <w:tab w:val="left" w:pos="1307"/>
              </w:tabs>
              <w:rPr>
                <w:sz w:val="20"/>
                <w:szCs w:val="20"/>
              </w:rPr>
            </w:pPr>
            <w:r>
              <w:rPr>
                <w:sz w:val="20"/>
                <w:szCs w:val="20"/>
              </w:rPr>
              <w:t>Eclairage public</w:t>
            </w:r>
          </w:p>
          <w:p w14:paraId="6B989431" w14:textId="77777777" w:rsidR="006C27DA" w:rsidRDefault="006C27DA" w:rsidP="00825859">
            <w:pPr>
              <w:pStyle w:val="Paragraphedeliste"/>
              <w:numPr>
                <w:ilvl w:val="0"/>
                <w:numId w:val="30"/>
              </w:numPr>
              <w:tabs>
                <w:tab w:val="left" w:pos="1307"/>
              </w:tabs>
              <w:rPr>
                <w:sz w:val="20"/>
                <w:szCs w:val="20"/>
              </w:rPr>
            </w:pPr>
            <w:r>
              <w:rPr>
                <w:sz w:val="20"/>
                <w:szCs w:val="20"/>
              </w:rPr>
              <w:t>Chauffage urbain (centrales de cogénération et chaufferies à biomasse)</w:t>
            </w:r>
          </w:p>
          <w:p w14:paraId="5779F9FC" w14:textId="77777777" w:rsidR="006C27DA" w:rsidRPr="006C27DA" w:rsidRDefault="006C27DA" w:rsidP="00825859">
            <w:pPr>
              <w:pStyle w:val="Paragraphedeliste"/>
              <w:numPr>
                <w:ilvl w:val="0"/>
                <w:numId w:val="30"/>
              </w:numPr>
              <w:tabs>
                <w:tab w:val="left" w:pos="1307"/>
              </w:tabs>
              <w:rPr>
                <w:sz w:val="20"/>
                <w:szCs w:val="20"/>
              </w:rPr>
            </w:pPr>
            <w:r>
              <w:rPr>
                <w:sz w:val="20"/>
                <w:szCs w:val="20"/>
              </w:rPr>
              <w:t>Réseaux intelligents</w:t>
            </w:r>
          </w:p>
        </w:tc>
        <w:tc>
          <w:tcPr>
            <w:tcW w:w="3260" w:type="dxa"/>
          </w:tcPr>
          <w:p w14:paraId="7D781ED2" w14:textId="77777777" w:rsidR="006C27DA" w:rsidRDefault="006C27DA" w:rsidP="00825859">
            <w:pPr>
              <w:pStyle w:val="Paragraphedeliste"/>
              <w:numPr>
                <w:ilvl w:val="0"/>
                <w:numId w:val="30"/>
              </w:numPr>
              <w:tabs>
                <w:tab w:val="left" w:pos="1307"/>
              </w:tabs>
              <w:rPr>
                <w:sz w:val="20"/>
                <w:szCs w:val="20"/>
              </w:rPr>
            </w:pPr>
            <w:r>
              <w:rPr>
                <w:sz w:val="20"/>
                <w:szCs w:val="20"/>
              </w:rPr>
              <w:t>Logements individuels</w:t>
            </w:r>
          </w:p>
          <w:p w14:paraId="04435C2C" w14:textId="77777777" w:rsidR="006C27DA" w:rsidRDefault="006C27DA" w:rsidP="00825859">
            <w:pPr>
              <w:pStyle w:val="Paragraphedeliste"/>
              <w:numPr>
                <w:ilvl w:val="0"/>
                <w:numId w:val="30"/>
              </w:numPr>
              <w:tabs>
                <w:tab w:val="left" w:pos="1307"/>
              </w:tabs>
              <w:rPr>
                <w:sz w:val="20"/>
                <w:szCs w:val="20"/>
              </w:rPr>
            </w:pPr>
            <w:r>
              <w:rPr>
                <w:sz w:val="20"/>
                <w:szCs w:val="20"/>
              </w:rPr>
              <w:t>Logements collectifs</w:t>
            </w:r>
          </w:p>
          <w:p w14:paraId="2733BD75" w14:textId="77777777" w:rsidR="006C27DA" w:rsidRPr="006C27DA" w:rsidRDefault="006C27DA" w:rsidP="00825859">
            <w:pPr>
              <w:pStyle w:val="Paragraphedeliste"/>
              <w:numPr>
                <w:ilvl w:val="0"/>
                <w:numId w:val="30"/>
              </w:numPr>
              <w:tabs>
                <w:tab w:val="left" w:pos="1307"/>
              </w:tabs>
              <w:rPr>
                <w:sz w:val="20"/>
                <w:szCs w:val="20"/>
              </w:rPr>
            </w:pPr>
            <w:r>
              <w:rPr>
                <w:sz w:val="20"/>
                <w:szCs w:val="20"/>
              </w:rPr>
              <w:t>Logements sociaux</w:t>
            </w:r>
          </w:p>
        </w:tc>
        <w:tc>
          <w:tcPr>
            <w:tcW w:w="3822" w:type="dxa"/>
          </w:tcPr>
          <w:p w14:paraId="06F7F132" w14:textId="77777777" w:rsidR="006C27DA" w:rsidRDefault="006C27DA" w:rsidP="00825859">
            <w:pPr>
              <w:pStyle w:val="Paragraphedeliste"/>
              <w:numPr>
                <w:ilvl w:val="0"/>
                <w:numId w:val="30"/>
              </w:numPr>
              <w:tabs>
                <w:tab w:val="left" w:pos="1307"/>
              </w:tabs>
              <w:rPr>
                <w:sz w:val="20"/>
                <w:szCs w:val="20"/>
              </w:rPr>
            </w:pPr>
            <w:r>
              <w:rPr>
                <w:sz w:val="20"/>
                <w:szCs w:val="20"/>
              </w:rPr>
              <w:t>I</w:t>
            </w:r>
            <w:r w:rsidRPr="006C27DA">
              <w:rPr>
                <w:sz w:val="20"/>
                <w:szCs w:val="20"/>
              </w:rPr>
              <w:t>nvestissements visant à encourager l’utilisation et l’intégration de solutions innovantes axées sur les combustibles de substitution dans le domaine de la mobilité urbaine</w:t>
            </w:r>
          </w:p>
          <w:p w14:paraId="70ECCDC6" w14:textId="77777777" w:rsidR="006C27DA" w:rsidRPr="006C27DA" w:rsidRDefault="006C27DA" w:rsidP="00825859">
            <w:pPr>
              <w:pStyle w:val="Paragraphedeliste"/>
              <w:numPr>
                <w:ilvl w:val="0"/>
                <w:numId w:val="30"/>
              </w:numPr>
              <w:tabs>
                <w:tab w:val="left" w:pos="1307"/>
              </w:tabs>
              <w:rPr>
                <w:sz w:val="20"/>
                <w:szCs w:val="20"/>
              </w:rPr>
            </w:pPr>
            <w:r>
              <w:rPr>
                <w:sz w:val="20"/>
                <w:szCs w:val="20"/>
              </w:rPr>
              <w:t>I</w:t>
            </w:r>
            <w:r w:rsidRPr="006C27DA">
              <w:rPr>
                <w:sz w:val="20"/>
                <w:szCs w:val="20"/>
              </w:rPr>
              <w:t xml:space="preserve">nvestissements promouvant l’introduction à grande échelle de nouveaux modes de transport plus économes en énergie </w:t>
            </w:r>
            <w:r>
              <w:rPr>
                <w:sz w:val="20"/>
                <w:szCs w:val="20"/>
              </w:rPr>
              <w:t>(</w:t>
            </w:r>
            <w:r w:rsidRPr="006C27DA">
              <w:rPr>
                <w:sz w:val="20"/>
                <w:szCs w:val="20"/>
              </w:rPr>
              <w:t>mobilité partagée, logistique urbaine, systèmes de transport intelligents, infrastructures urbaines</w:t>
            </w:r>
            <w:r>
              <w:rPr>
                <w:sz w:val="20"/>
                <w:szCs w:val="20"/>
              </w:rPr>
              <w:t>, modes de déplacement doux, etc.</w:t>
            </w:r>
          </w:p>
        </w:tc>
      </w:tr>
      <w:tr w:rsidR="005B2BBF" w14:paraId="6B205DC3" w14:textId="77777777" w:rsidTr="002B0B6E">
        <w:tc>
          <w:tcPr>
            <w:tcW w:w="9771" w:type="dxa"/>
            <w:gridSpan w:val="3"/>
          </w:tcPr>
          <w:p w14:paraId="3C60DD8E" w14:textId="77777777" w:rsidR="005B2BBF" w:rsidRPr="005B2BBF" w:rsidRDefault="005B2BBF" w:rsidP="005B2BBF">
            <w:pPr>
              <w:tabs>
                <w:tab w:val="left" w:pos="1307"/>
              </w:tabs>
              <w:jc w:val="center"/>
              <w:rPr>
                <w:sz w:val="20"/>
                <w:szCs w:val="20"/>
              </w:rPr>
            </w:pPr>
            <w:r w:rsidRPr="005B2BBF">
              <w:rPr>
                <w:sz w:val="20"/>
                <w:szCs w:val="20"/>
              </w:rPr>
              <w:t>Montant des programmes d’investissement : au moins 30 millions €</w:t>
            </w:r>
          </w:p>
        </w:tc>
      </w:tr>
      <w:tr w:rsidR="005B2BBF" w14:paraId="6AD54937" w14:textId="77777777" w:rsidTr="005B2BBF">
        <w:tc>
          <w:tcPr>
            <w:tcW w:w="2689" w:type="dxa"/>
          </w:tcPr>
          <w:p w14:paraId="53B9DF20" w14:textId="77777777" w:rsidR="005B2BBF" w:rsidRPr="006C27DA" w:rsidRDefault="005B2BBF" w:rsidP="005B2BBF">
            <w:pPr>
              <w:tabs>
                <w:tab w:val="left" w:pos="1307"/>
              </w:tabs>
              <w:rPr>
                <w:sz w:val="20"/>
                <w:szCs w:val="20"/>
              </w:rPr>
            </w:pPr>
            <w:r>
              <w:rPr>
                <w:sz w:val="20"/>
                <w:szCs w:val="20"/>
              </w:rPr>
              <w:t>Période d’exécution du programme d’investissement : 3 ans</w:t>
            </w:r>
          </w:p>
        </w:tc>
        <w:tc>
          <w:tcPr>
            <w:tcW w:w="3260" w:type="dxa"/>
          </w:tcPr>
          <w:p w14:paraId="1CB1AE03" w14:textId="77777777" w:rsidR="005B2BBF" w:rsidRPr="006C27DA" w:rsidRDefault="005B2BBF" w:rsidP="005B2BBF">
            <w:pPr>
              <w:tabs>
                <w:tab w:val="left" w:pos="1307"/>
              </w:tabs>
              <w:rPr>
                <w:sz w:val="20"/>
                <w:szCs w:val="20"/>
              </w:rPr>
            </w:pPr>
            <w:r>
              <w:rPr>
                <w:sz w:val="20"/>
                <w:szCs w:val="20"/>
              </w:rPr>
              <w:t>Période d’exécution du programme d’investissement : 4 ans</w:t>
            </w:r>
          </w:p>
        </w:tc>
        <w:tc>
          <w:tcPr>
            <w:tcW w:w="3822" w:type="dxa"/>
          </w:tcPr>
          <w:p w14:paraId="676D6555" w14:textId="77777777" w:rsidR="005B2BBF" w:rsidRPr="006C27DA" w:rsidRDefault="005B2BBF" w:rsidP="005B2BBF">
            <w:pPr>
              <w:tabs>
                <w:tab w:val="left" w:pos="1307"/>
              </w:tabs>
              <w:rPr>
                <w:sz w:val="20"/>
                <w:szCs w:val="20"/>
              </w:rPr>
            </w:pPr>
            <w:r>
              <w:rPr>
                <w:sz w:val="20"/>
                <w:szCs w:val="20"/>
              </w:rPr>
              <w:t>Période d’exécution du programme d’investissement : 4 ans</w:t>
            </w:r>
          </w:p>
        </w:tc>
      </w:tr>
    </w:tbl>
    <w:p w14:paraId="1366ACEF" w14:textId="77777777" w:rsidR="006C27DA" w:rsidRDefault="006C27DA" w:rsidP="006C27DA">
      <w:pPr>
        <w:pBdr>
          <w:top w:val="nil"/>
          <w:left w:val="nil"/>
          <w:bottom w:val="nil"/>
          <w:right w:val="nil"/>
          <w:between w:val="nil"/>
        </w:pBdr>
        <w:tabs>
          <w:tab w:val="left" w:pos="1307"/>
        </w:tabs>
        <w:jc w:val="both"/>
      </w:pPr>
    </w:p>
    <w:p w14:paraId="0C004995" w14:textId="2A1679FE" w:rsidR="00EC1984" w:rsidRDefault="00EC1984" w:rsidP="00A67511">
      <w:pPr>
        <w:pBdr>
          <w:top w:val="nil"/>
          <w:left w:val="nil"/>
          <w:bottom w:val="nil"/>
          <w:right w:val="nil"/>
          <w:between w:val="nil"/>
        </w:pBdr>
        <w:tabs>
          <w:tab w:val="left" w:pos="1307"/>
        </w:tabs>
        <w:jc w:val="both"/>
      </w:pPr>
      <w:r>
        <w:t>Ce dispositif peut être complété avec d’autres dispositifs de financement, pour autant que ceux-ci interviennent à d’autres phases du projet (ELENA intervenant surtout en amont) : le FEDER, la Facilité de relance et de résilience ou encore des financements nationaux et régionaux.</w:t>
      </w:r>
    </w:p>
    <w:p w14:paraId="6EA2AA93" w14:textId="77777777" w:rsidR="00FE7BB1" w:rsidRDefault="00FE7BB1" w:rsidP="00A67511">
      <w:pPr>
        <w:pBdr>
          <w:top w:val="nil"/>
          <w:left w:val="nil"/>
          <w:bottom w:val="nil"/>
          <w:right w:val="nil"/>
          <w:between w:val="nil"/>
        </w:pBdr>
        <w:tabs>
          <w:tab w:val="left" w:pos="1307"/>
        </w:tabs>
        <w:jc w:val="both"/>
      </w:pPr>
    </w:p>
    <w:p w14:paraId="6504FA4E" w14:textId="66DE36E4" w:rsidR="00A67511" w:rsidRDefault="001B6563" w:rsidP="00A67511">
      <w:pPr>
        <w:pBdr>
          <w:top w:val="nil"/>
          <w:left w:val="nil"/>
          <w:bottom w:val="nil"/>
          <w:right w:val="nil"/>
          <w:between w:val="nil"/>
        </w:pBdr>
        <w:tabs>
          <w:tab w:val="left" w:pos="1307"/>
        </w:tabs>
        <w:jc w:val="both"/>
      </w:pPr>
      <w:r>
        <w:t xml:space="preserve">Pour solliciter le dispositif, une première demande doit être envoyée à </w:t>
      </w:r>
      <w:hyperlink r:id="rId69" w:history="1">
        <w:r w:rsidRPr="0062029F">
          <w:rPr>
            <w:rStyle w:val="Lienhypertexte"/>
          </w:rPr>
          <w:t>elena@eib.org</w:t>
        </w:r>
      </w:hyperlink>
      <w:r>
        <w:t xml:space="preserve">, avec un formulaire de préadmission (rédigé en français ou en anglais, disponible sur </w:t>
      </w:r>
      <w:hyperlink r:id="rId70" w:history="1">
        <w:r w:rsidRPr="006C27DA">
          <w:rPr>
            <w:rStyle w:val="Lienhypertexte"/>
          </w:rPr>
          <w:t>le site de la BEI</w:t>
        </w:r>
      </w:hyperlink>
      <w:r>
        <w:t xml:space="preserve">), comportant la présentation du demandeur, du programme d’investissement, des services d’assistance demandés et les résultats attendus du </w:t>
      </w:r>
      <w:r>
        <w:lastRenderedPageBreak/>
        <w:t>projet. Si le projet est admissible, des formulaires plus détaillés sont à compléter (en français ou en anglais), en fonction du secteur concerné. La Commission européenne donne ensuite son approbation du projet.</w:t>
      </w:r>
    </w:p>
    <w:p w14:paraId="0B0365FE" w14:textId="77777777" w:rsidR="00A67511" w:rsidRPr="00B8338D" w:rsidRDefault="00A67511" w:rsidP="00A67511">
      <w:pPr>
        <w:pBdr>
          <w:top w:val="nil"/>
          <w:left w:val="nil"/>
          <w:bottom w:val="nil"/>
          <w:right w:val="nil"/>
          <w:between w:val="nil"/>
        </w:pBdr>
        <w:tabs>
          <w:tab w:val="left" w:pos="1307"/>
        </w:tabs>
        <w:jc w:val="both"/>
      </w:pPr>
    </w:p>
    <w:p w14:paraId="1C6C8B15" w14:textId="77777777" w:rsidR="00BB2B64" w:rsidRDefault="006C27DA" w:rsidP="000C57F2">
      <w:pPr>
        <w:pBdr>
          <w:top w:val="nil"/>
          <w:left w:val="nil"/>
          <w:bottom w:val="nil"/>
          <w:right w:val="nil"/>
          <w:between w:val="nil"/>
        </w:pBdr>
        <w:tabs>
          <w:tab w:val="left" w:pos="1307"/>
        </w:tabs>
        <w:jc w:val="both"/>
      </w:pPr>
      <w:r>
        <w:t xml:space="preserve">Plus d’information sur </w:t>
      </w:r>
      <w:hyperlink r:id="rId71" w:history="1">
        <w:r w:rsidRPr="006C27DA">
          <w:rPr>
            <w:rStyle w:val="Lienhypertexte"/>
          </w:rPr>
          <w:t>le site de la BEI</w:t>
        </w:r>
      </w:hyperlink>
      <w:r w:rsidR="001B6563">
        <w:t xml:space="preserve"> et dans </w:t>
      </w:r>
      <w:hyperlink r:id="rId72" w:history="1">
        <w:r w:rsidR="001B6563" w:rsidRPr="001B6563">
          <w:rPr>
            <w:rStyle w:val="Lienhypertexte"/>
          </w:rPr>
          <w:t>la FAQ</w:t>
        </w:r>
      </w:hyperlink>
      <w:r w:rsidR="001B6563">
        <w:t>.</w:t>
      </w:r>
    </w:p>
    <w:p w14:paraId="0B2054E3" w14:textId="4C7803BC" w:rsidR="00BB2B64" w:rsidRDefault="00BB2B64" w:rsidP="000C57F2">
      <w:pPr>
        <w:pBdr>
          <w:top w:val="nil"/>
          <w:left w:val="nil"/>
          <w:bottom w:val="nil"/>
          <w:right w:val="nil"/>
          <w:between w:val="nil"/>
        </w:pBdr>
        <w:tabs>
          <w:tab w:val="left" w:pos="1307"/>
        </w:tabs>
        <w:jc w:val="both"/>
      </w:pPr>
    </w:p>
    <w:p w14:paraId="33341A97" w14:textId="70ECDDC8" w:rsidR="00EC1984" w:rsidRDefault="00EC1984" w:rsidP="000C57F2">
      <w:pPr>
        <w:pBdr>
          <w:top w:val="nil"/>
          <w:left w:val="nil"/>
          <w:bottom w:val="nil"/>
          <w:right w:val="nil"/>
          <w:between w:val="nil"/>
        </w:pBdr>
        <w:tabs>
          <w:tab w:val="left" w:pos="1307"/>
        </w:tabs>
        <w:jc w:val="both"/>
      </w:pPr>
    </w:p>
    <w:p w14:paraId="4A053412" w14:textId="44AB7E77" w:rsidR="00EC1984" w:rsidRDefault="00EC1984" w:rsidP="000C57F2">
      <w:pPr>
        <w:pBdr>
          <w:top w:val="nil"/>
          <w:left w:val="nil"/>
          <w:bottom w:val="nil"/>
          <w:right w:val="nil"/>
          <w:between w:val="nil"/>
        </w:pBdr>
        <w:tabs>
          <w:tab w:val="left" w:pos="1307"/>
        </w:tabs>
        <w:jc w:val="both"/>
      </w:pPr>
    </w:p>
    <w:p w14:paraId="021F729A" w14:textId="77777777" w:rsidR="00EC1984" w:rsidRDefault="00EC1984" w:rsidP="000C57F2">
      <w:pPr>
        <w:pBdr>
          <w:top w:val="nil"/>
          <w:left w:val="nil"/>
          <w:bottom w:val="nil"/>
          <w:right w:val="nil"/>
          <w:between w:val="nil"/>
        </w:pBdr>
        <w:tabs>
          <w:tab w:val="left" w:pos="1307"/>
        </w:tabs>
        <w:jc w:val="both"/>
      </w:pPr>
    </w:p>
    <w:p w14:paraId="72653B0A" w14:textId="77777777" w:rsidR="00CC781C" w:rsidRDefault="008F7158">
      <w:pPr>
        <w:pStyle w:val="Titre1"/>
        <w:ind w:firstLine="360"/>
      </w:pPr>
      <w:r>
        <w:t>Dispositions administratives et financières</w:t>
      </w:r>
    </w:p>
    <w:p w14:paraId="3096DFC7" w14:textId="77777777" w:rsidR="00CC781C" w:rsidRDefault="00CC781C">
      <w:pPr>
        <w:pBdr>
          <w:top w:val="nil"/>
          <w:left w:val="nil"/>
          <w:bottom w:val="nil"/>
          <w:right w:val="nil"/>
          <w:between w:val="nil"/>
        </w:pBdr>
        <w:tabs>
          <w:tab w:val="left" w:pos="1307"/>
        </w:tabs>
        <w:ind w:left="360"/>
        <w:jc w:val="both"/>
        <w:rPr>
          <w:color w:val="000000"/>
        </w:rPr>
      </w:pPr>
    </w:p>
    <w:p w14:paraId="2713938F" w14:textId="77777777" w:rsidR="00D20DC6" w:rsidRDefault="00D20DC6" w:rsidP="00D20DC6">
      <w:pPr>
        <w:numPr>
          <w:ilvl w:val="0"/>
          <w:numId w:val="1"/>
        </w:numPr>
        <w:pBdr>
          <w:top w:val="nil"/>
          <w:left w:val="nil"/>
          <w:bottom w:val="nil"/>
          <w:right w:val="nil"/>
          <w:between w:val="nil"/>
        </w:pBdr>
        <w:tabs>
          <w:tab w:val="left" w:pos="1307"/>
        </w:tabs>
        <w:jc w:val="both"/>
      </w:pPr>
      <w:r>
        <w:t>Il est à noter que de manière générale, les financements octroyés par la Banque européenne d’investissement ne relèvent pas des aides d’Etat.</w:t>
      </w:r>
    </w:p>
    <w:p w14:paraId="3510AC9E" w14:textId="77777777" w:rsidR="00354CD3" w:rsidRDefault="00354CD3" w:rsidP="00825859">
      <w:pPr>
        <w:numPr>
          <w:ilvl w:val="0"/>
          <w:numId w:val="22"/>
        </w:numPr>
        <w:pBdr>
          <w:top w:val="nil"/>
          <w:left w:val="nil"/>
          <w:bottom w:val="nil"/>
          <w:right w:val="nil"/>
          <w:between w:val="nil"/>
        </w:pBdr>
        <w:tabs>
          <w:tab w:val="left" w:pos="1307"/>
        </w:tabs>
        <w:jc w:val="both"/>
      </w:pPr>
      <w:r>
        <w:t>Dans le cadre de la mise en œuvre des opérations bénéficiant de l’appui de la BEI, les achats réalisés devront l’être dans le respect de la règlementation européenne en vigueur, ainsi que de principe généraux de transparence, de sélection de l’offre présentant le meilleur rapport qualité-prix (offre la mieux-disante) et d’absence de conflit d’intérêt.</w:t>
      </w:r>
      <w:r w:rsidR="0044676A">
        <w:t xml:space="preserve"> Plus d’informations disponibles </w:t>
      </w:r>
      <w:hyperlink r:id="rId73" w:history="1">
        <w:r w:rsidR="0044676A" w:rsidRPr="0044676A">
          <w:rPr>
            <w:rStyle w:val="Lienhypertexte"/>
          </w:rPr>
          <w:t>ici</w:t>
        </w:r>
      </w:hyperlink>
      <w:r w:rsidR="0044676A">
        <w:t>.</w:t>
      </w:r>
    </w:p>
    <w:p w14:paraId="5BBAF0CE" w14:textId="77777777" w:rsidR="00354CD3" w:rsidRDefault="00354CD3" w:rsidP="00825859">
      <w:pPr>
        <w:numPr>
          <w:ilvl w:val="0"/>
          <w:numId w:val="22"/>
        </w:numPr>
        <w:pBdr>
          <w:top w:val="nil"/>
          <w:left w:val="nil"/>
          <w:bottom w:val="nil"/>
          <w:right w:val="nil"/>
          <w:between w:val="nil"/>
        </w:pBdr>
        <w:tabs>
          <w:tab w:val="left" w:pos="1307"/>
        </w:tabs>
        <w:jc w:val="both"/>
      </w:pPr>
      <w:r>
        <w:t>De manière générale, les financements proposés par la BEI consistant principalement en des prêts, garanties ou apports en capital obtenues directement avec la BEI ou ses intermédiaires financiers, les modalités financières exactes sont à négocier au cas par cas avec l’interlocuteur de la BEI ou représentant la BEI.</w:t>
      </w:r>
      <w:r w:rsidR="00BF10F2">
        <w:t xml:space="preserve"> Certains seuils de principe peuvent faire l’objet de négociations et être exceptionnellement dépassés.</w:t>
      </w:r>
    </w:p>
    <w:p w14:paraId="2DB4ECA6" w14:textId="77777777" w:rsidR="00CC781C" w:rsidRDefault="008F7158">
      <w:pPr>
        <w:pStyle w:val="Titre1"/>
        <w:ind w:firstLine="360"/>
      </w:pPr>
      <w:r>
        <w:t>Informations pratiques</w:t>
      </w:r>
    </w:p>
    <w:p w14:paraId="10E75FAB" w14:textId="77777777" w:rsidR="00781F9A" w:rsidRDefault="00781F9A" w:rsidP="00781F9A">
      <w:pPr>
        <w:pBdr>
          <w:top w:val="nil"/>
          <w:left w:val="nil"/>
          <w:bottom w:val="nil"/>
          <w:right w:val="nil"/>
          <w:between w:val="nil"/>
        </w:pBdr>
        <w:tabs>
          <w:tab w:val="left" w:pos="1307"/>
        </w:tabs>
        <w:jc w:val="both"/>
      </w:pPr>
    </w:p>
    <w:p w14:paraId="174DE1EA" w14:textId="77777777" w:rsidR="00781F9A" w:rsidRDefault="00A8244F" w:rsidP="00781F9A">
      <w:pPr>
        <w:pBdr>
          <w:top w:val="nil"/>
          <w:left w:val="nil"/>
          <w:bottom w:val="nil"/>
          <w:right w:val="nil"/>
          <w:between w:val="nil"/>
        </w:pBdr>
        <w:tabs>
          <w:tab w:val="left" w:pos="1307"/>
        </w:tabs>
        <w:jc w:val="both"/>
      </w:pPr>
      <w:r>
        <w:t>De manière générale, e</w:t>
      </w:r>
      <w:r w:rsidR="00FA7AFA">
        <w:t xml:space="preserve">n fonction du volume du projet, des guichets différents </w:t>
      </w:r>
      <w:r w:rsidR="000A715F">
        <w:t>sont à solliciter</w:t>
      </w:r>
      <w:r w:rsidR="00FA7AFA">
        <w:t> :</w:t>
      </w:r>
    </w:p>
    <w:p w14:paraId="21E089BA" w14:textId="77777777" w:rsidR="00FA7AFA" w:rsidRDefault="00FA7AFA" w:rsidP="00825859">
      <w:pPr>
        <w:pStyle w:val="Paragraphedeliste"/>
        <w:numPr>
          <w:ilvl w:val="0"/>
          <w:numId w:val="7"/>
        </w:numPr>
        <w:pBdr>
          <w:top w:val="nil"/>
          <w:left w:val="nil"/>
          <w:bottom w:val="nil"/>
          <w:right w:val="nil"/>
          <w:between w:val="nil"/>
        </w:pBdr>
        <w:tabs>
          <w:tab w:val="left" w:pos="1307"/>
        </w:tabs>
        <w:jc w:val="both"/>
      </w:pPr>
      <w:r>
        <w:t xml:space="preserve">Pour des projets de moins de 25 millions €, </w:t>
      </w:r>
      <w:hyperlink r:id="rId74" w:history="1">
        <w:r w:rsidRPr="00FA7AFA">
          <w:rPr>
            <w:rStyle w:val="Lienhypertexte"/>
          </w:rPr>
          <w:t>les partenaires de la BEI en France</w:t>
        </w:r>
      </w:hyperlink>
      <w:r>
        <w:t xml:space="preserve"> peuvent être contactés.</w:t>
      </w:r>
    </w:p>
    <w:p w14:paraId="3E10757E" w14:textId="77777777" w:rsidR="00FA7AFA" w:rsidRDefault="00FA7AFA" w:rsidP="00825859">
      <w:pPr>
        <w:pStyle w:val="Paragraphedeliste"/>
        <w:numPr>
          <w:ilvl w:val="0"/>
          <w:numId w:val="7"/>
        </w:numPr>
        <w:pBdr>
          <w:top w:val="nil"/>
          <w:left w:val="nil"/>
          <w:bottom w:val="nil"/>
          <w:right w:val="nil"/>
          <w:between w:val="nil"/>
        </w:pBdr>
        <w:tabs>
          <w:tab w:val="left" w:pos="1307"/>
        </w:tabs>
        <w:jc w:val="both"/>
      </w:pPr>
      <w:r>
        <w:t xml:space="preserve">Pour des projets de plus de 25 millions €, contactez </w:t>
      </w:r>
      <w:hyperlink r:id="rId75" w:history="1">
        <w:r w:rsidRPr="00FA7AFA">
          <w:rPr>
            <w:rStyle w:val="Lienhypertexte"/>
          </w:rPr>
          <w:t>le bureau local de la BEI en France</w:t>
        </w:r>
      </w:hyperlink>
      <w:r>
        <w:t>.</w:t>
      </w:r>
    </w:p>
    <w:p w14:paraId="18784335" w14:textId="77777777" w:rsidR="00B34036" w:rsidRDefault="00FA7AFA" w:rsidP="00825859">
      <w:pPr>
        <w:pStyle w:val="Paragraphedeliste"/>
        <w:numPr>
          <w:ilvl w:val="0"/>
          <w:numId w:val="7"/>
        </w:numPr>
        <w:pBdr>
          <w:top w:val="nil"/>
          <w:left w:val="nil"/>
          <w:bottom w:val="nil"/>
          <w:right w:val="nil"/>
          <w:between w:val="nil"/>
        </w:pBdr>
        <w:tabs>
          <w:tab w:val="left" w:pos="1307"/>
        </w:tabs>
        <w:jc w:val="both"/>
      </w:pPr>
      <w:r>
        <w:t xml:space="preserve">Pour des services d’appui et de conseil, n’hésitez pas à consulter le </w:t>
      </w:r>
      <w:hyperlink r:id="rId76" w:history="1">
        <w:proofErr w:type="spellStart"/>
        <w:r w:rsidRPr="00FA7AFA">
          <w:rPr>
            <w:rStyle w:val="Lienhypertexte"/>
            <w:i/>
            <w:iCs/>
          </w:rPr>
          <w:t>European</w:t>
        </w:r>
        <w:proofErr w:type="spellEnd"/>
        <w:r w:rsidRPr="00FA7AFA">
          <w:rPr>
            <w:rStyle w:val="Lienhypertexte"/>
            <w:i/>
            <w:iCs/>
          </w:rPr>
          <w:t xml:space="preserve"> Investment </w:t>
        </w:r>
        <w:proofErr w:type="spellStart"/>
        <w:r w:rsidRPr="00FA7AFA">
          <w:rPr>
            <w:rStyle w:val="Lienhypertexte"/>
            <w:i/>
            <w:iCs/>
          </w:rPr>
          <w:t>Advisory</w:t>
        </w:r>
        <w:proofErr w:type="spellEnd"/>
        <w:r w:rsidRPr="00FA7AFA">
          <w:rPr>
            <w:rStyle w:val="Lienhypertexte"/>
            <w:i/>
            <w:iCs/>
          </w:rPr>
          <w:t xml:space="preserve"> Hub</w:t>
        </w:r>
      </w:hyperlink>
      <w:r>
        <w:rPr>
          <w:i/>
          <w:iCs/>
        </w:rPr>
        <w:t xml:space="preserve"> </w:t>
      </w:r>
      <w:r w:rsidRPr="00FA7AFA">
        <w:t>(EIAH).</w:t>
      </w:r>
    </w:p>
    <w:sectPr w:rsidR="00B34036">
      <w:headerReference w:type="default" r:id="rId77"/>
      <w:footerReference w:type="even" r:id="rId78"/>
      <w:footerReference w:type="default" r:id="rId79"/>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15EB52" w14:textId="77777777" w:rsidR="000839EC" w:rsidRDefault="000839EC">
      <w:r>
        <w:separator/>
      </w:r>
    </w:p>
  </w:endnote>
  <w:endnote w:type="continuationSeparator" w:id="0">
    <w:p w14:paraId="385CD978" w14:textId="77777777" w:rsidR="000839EC" w:rsidRDefault="00083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Noto Sans Symbols">
    <w:altName w:val="Times New Roman"/>
    <w:panose1 w:val="020B0604020202020204"/>
    <w:charset w:val="00"/>
    <w:family w:val="auto"/>
    <w:pitch w:val="default"/>
  </w:font>
  <w:font w:name="Calibri">
    <w:panose1 w:val="020F0502020204030204"/>
    <w:charset w:val="00"/>
    <w:family w:val="swiss"/>
    <w:pitch w:val="variable"/>
    <w:sig w:usb0="A00002EF" w:usb1="4000207B" w:usb2="00000000" w:usb3="00000000" w:csb0="0000009F"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Corps CS)">
    <w:altName w:val="Times New Roman"/>
    <w:panose1 w:val="020B0604020202020204"/>
    <w:charset w:val="00"/>
    <w:family w:val="roman"/>
    <w:pitch w:val="default"/>
  </w:font>
  <w:font w:name="Trajan Pro">
    <w:altName w:val="﷽﷽﷽﷽﷽﷽﷽﷽얀饞翿"/>
    <w:panose1 w:val="02020502050506020301"/>
    <w:charset w:val="4D"/>
    <w:family w:val="roman"/>
    <w:notTrueType/>
    <w:pitch w:val="variable"/>
    <w:sig w:usb0="00000007" w:usb1="00000000" w:usb2="00000000" w:usb3="00000000" w:csb0="00000093" w:csb1="00000000"/>
  </w:font>
  <w:font w:name="Lucida Grande">
    <w:altName w:val="﷽﷽﷽﷽﷽﷽﷽﷽"/>
    <w:panose1 w:val="020B0600040502020204"/>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Orator Std">
    <w:altName w:val="﷽﷽﷽﷽﷽﷽﷽﷽ans Typewriter"/>
    <w:panose1 w:val="020D05090202030302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DE864" w14:textId="77777777" w:rsidR="003F1BCC" w:rsidRDefault="003F1BCC">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7229092F" w14:textId="77777777" w:rsidR="003F1BCC" w:rsidRDefault="003F1BCC">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42A67" w14:textId="77777777" w:rsidR="003F1BCC" w:rsidRDefault="003F1BCC">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12</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3F1BCC" w14:paraId="19434DCF" w14:textId="77777777">
      <w:tc>
        <w:tcPr>
          <w:tcW w:w="1661" w:type="dxa"/>
        </w:tcPr>
        <w:p w14:paraId="768B7167" w14:textId="77777777" w:rsidR="003F1BCC" w:rsidRDefault="003F1BCC">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5E8A8144" w14:textId="77777777" w:rsidR="003F1BCC" w:rsidRDefault="003F1BCC">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28DE97F" w14:textId="77777777" w:rsidR="003F1BCC" w:rsidRDefault="003F1BCC">
          <w:pPr>
            <w:pBdr>
              <w:top w:val="nil"/>
              <w:left w:val="nil"/>
              <w:bottom w:val="nil"/>
              <w:right w:val="nil"/>
              <w:between w:val="nil"/>
            </w:pBdr>
            <w:tabs>
              <w:tab w:val="center" w:pos="4536"/>
              <w:tab w:val="right" w:pos="9072"/>
            </w:tabs>
            <w:ind w:right="360"/>
            <w:rPr>
              <w:color w:val="000000"/>
            </w:rPr>
          </w:pPr>
          <w:r>
            <w:rPr>
              <w:color w:val="000000"/>
            </w:rPr>
            <w:t>2021</w:t>
          </w:r>
        </w:p>
      </w:tc>
    </w:tr>
  </w:tbl>
  <w:p w14:paraId="460CB92C" w14:textId="77777777" w:rsidR="003F1BCC" w:rsidRDefault="003F1BCC">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C21C2" w14:textId="77777777" w:rsidR="000839EC" w:rsidRDefault="000839EC">
      <w:r>
        <w:separator/>
      </w:r>
    </w:p>
  </w:footnote>
  <w:footnote w:type="continuationSeparator" w:id="0">
    <w:p w14:paraId="3CB30A10" w14:textId="77777777" w:rsidR="000839EC" w:rsidRDefault="000839EC">
      <w:r>
        <w:continuationSeparator/>
      </w:r>
    </w:p>
  </w:footnote>
  <w:footnote w:id="1">
    <w:p w14:paraId="29A6D98E" w14:textId="7E94D59E" w:rsidR="003F1BCC" w:rsidRDefault="003F1BCC" w:rsidP="001377C2">
      <w:pPr>
        <w:pStyle w:val="Notedebasdepage"/>
        <w:jc w:val="both"/>
      </w:pPr>
      <w:r>
        <w:rPr>
          <w:rStyle w:val="Appelnotedebasdep"/>
        </w:rPr>
        <w:footnoteRef/>
      </w:r>
      <w:r>
        <w:t xml:space="preserve"> </w:t>
      </w:r>
      <w:r w:rsidR="00A17413" w:rsidRPr="00A17413">
        <w:t xml:space="preserve"> </w:t>
      </w:r>
      <w:r w:rsidR="00A17413">
        <w:t xml:space="preserve">Se référer à la </w:t>
      </w:r>
      <w:hyperlink r:id="rId1" w:history="1">
        <w:r w:rsidR="00A17413" w:rsidRPr="001377C2">
          <w:rPr>
            <w:rStyle w:val="Lienhypertexte"/>
          </w:rPr>
          <w:t>recommandation modifiée de 2003</w:t>
        </w:r>
      </w:hyperlink>
      <w:r w:rsidR="00A17413">
        <w:t xml:space="preserve"> concernant la définition des PME. Les </w:t>
      </w:r>
      <w:hyperlink r:id="rId2" w:history="1">
        <w:r w:rsidR="00A17413" w:rsidRPr="001377C2">
          <w:rPr>
            <w:rStyle w:val="Lienhypertexte"/>
          </w:rPr>
          <w:t>ETI françaises</w:t>
        </w:r>
      </w:hyperlink>
      <w:r w:rsidR="00A17413">
        <w:t xml:space="preserve"> sont considérées comme des grandes entreprises par l’UE.</w:t>
      </w:r>
    </w:p>
  </w:footnote>
  <w:footnote w:id="2">
    <w:p w14:paraId="0E4241C7" w14:textId="77777777" w:rsidR="003F1BCC" w:rsidRDefault="003F1BCC" w:rsidP="006C380F">
      <w:pPr>
        <w:pStyle w:val="Notedebasdepage"/>
        <w:jc w:val="both"/>
      </w:pPr>
      <w:r>
        <w:rPr>
          <w:rStyle w:val="Appelnotedebasdep"/>
        </w:rPr>
        <w:footnoteRef/>
      </w:r>
      <w:r>
        <w:t xml:space="preserve"> De manière générale, les seuils mentionnés dans cette fiche sont des seuils de principe. En fonction des instruments, il peut y avoir des exceptions accordées par la BEI, au cas par cas si des circonstances exceptionnelles le justifient, lors du processus de négociation de la demande de financement.</w:t>
      </w:r>
    </w:p>
  </w:footnote>
  <w:footnote w:id="3">
    <w:p w14:paraId="7EDCDA67" w14:textId="2ED406CF" w:rsidR="003F1BCC" w:rsidRDefault="003F1BCC" w:rsidP="001377C2">
      <w:pPr>
        <w:pStyle w:val="Notedebasdepage"/>
        <w:jc w:val="both"/>
      </w:pPr>
      <w:r>
        <w:rPr>
          <w:rStyle w:val="Appelnotedebasdep"/>
        </w:rPr>
        <w:footnoteRef/>
      </w:r>
      <w:r>
        <w:t xml:space="preserve"> </w:t>
      </w:r>
      <w:r w:rsidR="00A17413" w:rsidRPr="00A17413">
        <w:t xml:space="preserve"> </w:t>
      </w:r>
      <w:r w:rsidR="00A17413">
        <w:t>Les financements de la BEI ne relevant pas des aides d’Etat, il s’agit ici d’une question de cumul de ces concours en dehors des problématiques de cumul des aides d’Etat.</w:t>
      </w:r>
    </w:p>
  </w:footnote>
  <w:footnote w:id="4">
    <w:p w14:paraId="1EE21C2D" w14:textId="77777777" w:rsidR="003F1BCC" w:rsidRPr="00B74B9D" w:rsidRDefault="003F1BCC" w:rsidP="00D16EEF">
      <w:pPr>
        <w:pStyle w:val="Notedebasdepage"/>
      </w:pPr>
      <w:r>
        <w:rPr>
          <w:rStyle w:val="Appelnotedebasdep"/>
        </w:rPr>
        <w:footnoteRef/>
      </w:r>
      <w:r>
        <w:t xml:space="preserve"> Le </w:t>
      </w:r>
      <w:proofErr w:type="spellStart"/>
      <w:r>
        <w:rPr>
          <w:i/>
          <w:iCs/>
        </w:rPr>
        <w:t>Technology</w:t>
      </w:r>
      <w:proofErr w:type="spellEnd"/>
      <w:r>
        <w:rPr>
          <w:i/>
          <w:iCs/>
        </w:rPr>
        <w:t xml:space="preserve"> </w:t>
      </w:r>
      <w:proofErr w:type="spellStart"/>
      <w:r>
        <w:rPr>
          <w:i/>
          <w:iCs/>
        </w:rPr>
        <w:t>Readiness</w:t>
      </w:r>
      <w:proofErr w:type="spellEnd"/>
      <w:r>
        <w:rPr>
          <w:i/>
          <w:iCs/>
        </w:rPr>
        <w:t xml:space="preserve"> </w:t>
      </w:r>
      <w:proofErr w:type="spellStart"/>
      <w:r>
        <w:rPr>
          <w:i/>
          <w:iCs/>
        </w:rPr>
        <w:t>Level</w:t>
      </w:r>
      <w:proofErr w:type="spellEnd"/>
      <w:r>
        <w:t xml:space="preserve"> correspond au degré de maturité technologique </w:t>
      </w:r>
      <w:proofErr w:type="gramStart"/>
      <w:r>
        <w:t>d’une procédé</w:t>
      </w:r>
      <w:proofErr w:type="gramEnd"/>
      <w:r>
        <w:t xml:space="preserve"> ou produit innovant. Il s’échelonne en général de 1 à 9, 9 étant le stade de maturité le plus avancé. Plus d’informations sur l’échelle </w:t>
      </w:r>
      <w:hyperlink r:id="rId3" w:history="1">
        <w:r w:rsidRPr="00EC63AD">
          <w:rPr>
            <w:rStyle w:val="Lienhypertexte"/>
          </w:rPr>
          <w:t>ici</w:t>
        </w:r>
      </w:hyperlink>
      <w:r>
        <w:t xml:space="preserve">. Pour </w:t>
      </w:r>
      <w:r w:rsidRPr="00B74B9D">
        <w:t xml:space="preserve">plus d’information sur les définitions, se reporter au Manuel de Frascati (OCDE) </w:t>
      </w:r>
    </w:p>
    <w:p w14:paraId="635FBC9E" w14:textId="77777777" w:rsidR="003F1BCC" w:rsidRPr="00EC63AD" w:rsidRDefault="000839EC" w:rsidP="00D16EEF">
      <w:pPr>
        <w:pStyle w:val="Notedebasdepage"/>
      </w:pPr>
      <w:hyperlink r:id="rId4" w:history="1">
        <w:r w:rsidR="003F1BCC" w:rsidRPr="00B74B9D">
          <w:rPr>
            <w:color w:val="0000FF"/>
            <w:sz w:val="18"/>
            <w:szCs w:val="18"/>
            <w:u w:val="single"/>
          </w:rPr>
          <w:t xml:space="preserve">Manuel de Frascati </w:t>
        </w:r>
        <w:proofErr w:type="gramStart"/>
        <w:r w:rsidR="003F1BCC" w:rsidRPr="00B74B9D">
          <w:rPr>
            <w:color w:val="0000FF"/>
            <w:sz w:val="18"/>
            <w:szCs w:val="18"/>
            <w:u w:val="single"/>
          </w:rPr>
          <w:t>2015:</w:t>
        </w:r>
        <w:proofErr w:type="gramEnd"/>
        <w:r w:rsidR="003F1BCC" w:rsidRPr="00B74B9D">
          <w:rPr>
            <w:color w:val="0000FF"/>
            <w:sz w:val="18"/>
            <w:szCs w:val="18"/>
            <w:u w:val="single"/>
          </w:rPr>
          <w:t xml:space="preserve"> Lignes directrices pour le recueil et la communication des données sur la recherche et le développement expérimental | fr | OCDE (oecd.org)</w:t>
        </w:r>
      </w:hyperlink>
    </w:p>
  </w:footnote>
  <w:footnote w:id="5">
    <w:p w14:paraId="76BAFAF3" w14:textId="17160925" w:rsidR="003F1BCC" w:rsidRDefault="003F1BCC" w:rsidP="003D35DF">
      <w:pPr>
        <w:pStyle w:val="Notedebasdepage"/>
        <w:jc w:val="both"/>
      </w:pPr>
      <w:r>
        <w:rPr>
          <w:rStyle w:val="Appelnotedebasdep"/>
        </w:rPr>
        <w:footnoteRef/>
      </w:r>
      <w:r>
        <w:t xml:space="preserve"> </w:t>
      </w:r>
      <w:r w:rsidR="00452D25" w:rsidRPr="00452D25">
        <w:t xml:space="preserve"> </w:t>
      </w:r>
      <w:r w:rsidR="00452D25">
        <w:t>La liste des pays associés au principal programme de financement de la recherche européen (Horizon) n’a pas encore été mise à jour pour le successeur d’Horizon 2020, Horizon Europe. Il convien</w:t>
      </w:r>
      <w:r w:rsidR="00566421">
        <w:t>dra</w:t>
      </w:r>
      <w:r w:rsidR="00452D25">
        <w:t xml:space="preserve"> de vérifier les dernières informations disponibles ainsi que les cas particuliers du Royaume-Uni et de la Suisse.</w:t>
      </w:r>
    </w:p>
  </w:footnote>
  <w:footnote w:id="6">
    <w:p w14:paraId="75C1773C" w14:textId="19384CD8" w:rsidR="00452D25" w:rsidRDefault="00452D25" w:rsidP="003D35DF">
      <w:pPr>
        <w:pStyle w:val="Notedebasdepage"/>
        <w:jc w:val="both"/>
      </w:pPr>
      <w:r>
        <w:rPr>
          <w:rStyle w:val="Appelnotedebasdep"/>
        </w:rPr>
        <w:footnoteRef/>
      </w:r>
      <w:r>
        <w:t xml:space="preserve"> La liste des pays associés au principal programme de financement de la recherche européen (Horizon) n’a pas encore été mise à jour pour le successeur d’Horizon 2020, Horizon Europe. Il convient de vérifier les dernières informations disponibles ainsi que les cas particuliers du Royaume-Uni et de la Suisse.</w:t>
      </w:r>
    </w:p>
  </w:footnote>
  <w:footnote w:id="7">
    <w:p w14:paraId="15790D4E" w14:textId="518F986D" w:rsidR="00452D25" w:rsidRDefault="00452D25" w:rsidP="003D35DF">
      <w:pPr>
        <w:pStyle w:val="Notedebasdepage"/>
        <w:jc w:val="both"/>
      </w:pPr>
      <w:r>
        <w:rPr>
          <w:rStyle w:val="Appelnotedebasdep"/>
        </w:rPr>
        <w:footnoteRef/>
      </w:r>
      <w:r>
        <w:t xml:space="preserve"> Le dispositif InnovFin ayant été conçu dans le cadre du programme Horizon 2020, celui-ci fait principalement référence à ce programme de financement. Il conviendra de surveiller sur évolution dans le cadre de son intégration à InvestEU et d’éventuels liés faits avec le programme succédant à Horizon 2020, Horizon Europe.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652FF" w14:textId="77777777" w:rsidR="003F1BCC" w:rsidRDefault="003F1BCC">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5132CB1" wp14:editId="3BA64716">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7501E716" wp14:editId="650B3DDC">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7B511F53" wp14:editId="722B9D66">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1C9A"/>
    <w:multiLevelType w:val="hybridMultilevel"/>
    <w:tmpl w:val="0C4E839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82073D8"/>
    <w:multiLevelType w:val="hybridMultilevel"/>
    <w:tmpl w:val="B6D47A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E0AD0"/>
    <w:multiLevelType w:val="hybridMultilevel"/>
    <w:tmpl w:val="1290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016A6E"/>
    <w:multiLevelType w:val="hybridMultilevel"/>
    <w:tmpl w:val="CC289B2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ED11E31"/>
    <w:multiLevelType w:val="hybridMultilevel"/>
    <w:tmpl w:val="A7C47BA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4A23FAF"/>
    <w:multiLevelType w:val="hybridMultilevel"/>
    <w:tmpl w:val="86E810D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4A945D3"/>
    <w:multiLevelType w:val="hybridMultilevel"/>
    <w:tmpl w:val="C68A396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50973AF"/>
    <w:multiLevelType w:val="multilevel"/>
    <w:tmpl w:val="815AF6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275A5E3C"/>
    <w:multiLevelType w:val="hybridMultilevel"/>
    <w:tmpl w:val="C5306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761CC7"/>
    <w:multiLevelType w:val="hybridMultilevel"/>
    <w:tmpl w:val="092090F8"/>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244E2B48">
      <w:numFmt w:val="bullet"/>
      <w:lvlText w:val="•"/>
      <w:lvlJc w:val="left"/>
      <w:pPr>
        <w:ind w:left="2160" w:hanging="720"/>
      </w:pPr>
      <w:rPr>
        <w:rFonts w:ascii="Calibri" w:eastAsia="Calibri"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E8D2270"/>
    <w:multiLevelType w:val="multilevel"/>
    <w:tmpl w:val="AE34713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527632F"/>
    <w:multiLevelType w:val="hybridMultilevel"/>
    <w:tmpl w:val="503C70B6"/>
    <w:lvl w:ilvl="0" w:tplc="123CCCC4">
      <w:start w:val="1"/>
      <w:numFmt w:val="bullet"/>
      <w:pStyle w:val="Style1"/>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7527C78"/>
    <w:multiLevelType w:val="hybridMultilevel"/>
    <w:tmpl w:val="BE0C64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7B42841"/>
    <w:multiLevelType w:val="hybridMultilevel"/>
    <w:tmpl w:val="0696E7AE"/>
    <w:lvl w:ilvl="0" w:tplc="1F12743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79226E"/>
    <w:multiLevelType w:val="hybridMultilevel"/>
    <w:tmpl w:val="343C3AD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16A4E13"/>
    <w:multiLevelType w:val="hybridMultilevel"/>
    <w:tmpl w:val="0AE8D6A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2AC7DFC"/>
    <w:multiLevelType w:val="hybridMultilevel"/>
    <w:tmpl w:val="E6F4A8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2F6262C"/>
    <w:multiLevelType w:val="hybridMultilevel"/>
    <w:tmpl w:val="977E6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7F677AC"/>
    <w:multiLevelType w:val="hybridMultilevel"/>
    <w:tmpl w:val="A47EFC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65074F"/>
    <w:multiLevelType w:val="hybridMultilevel"/>
    <w:tmpl w:val="0F522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89E0A46"/>
    <w:multiLevelType w:val="hybridMultilevel"/>
    <w:tmpl w:val="B5D8CBD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027044"/>
    <w:multiLevelType w:val="hybridMultilevel"/>
    <w:tmpl w:val="20802F1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BE94EEF"/>
    <w:multiLevelType w:val="hybridMultilevel"/>
    <w:tmpl w:val="E53A744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0C94922"/>
    <w:multiLevelType w:val="hybridMultilevel"/>
    <w:tmpl w:val="84729326"/>
    <w:lvl w:ilvl="0" w:tplc="025823F0">
      <w:numFmt w:val="bullet"/>
      <w:lvlText w:val=""/>
      <w:lvlJc w:val="left"/>
      <w:pPr>
        <w:ind w:left="360" w:hanging="360"/>
      </w:pPr>
      <w:rPr>
        <w:rFonts w:ascii="Wingdings" w:eastAsia="Calibri" w:hAnsi="Wingdings"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62E2465B"/>
    <w:multiLevelType w:val="hybridMultilevel"/>
    <w:tmpl w:val="A4D85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7C2F76"/>
    <w:multiLevelType w:val="hybridMultilevel"/>
    <w:tmpl w:val="DEB8E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463BC2"/>
    <w:multiLevelType w:val="hybridMultilevel"/>
    <w:tmpl w:val="8C1453C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D3610C7"/>
    <w:multiLevelType w:val="hybridMultilevel"/>
    <w:tmpl w:val="2310A0D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0C9197C"/>
    <w:multiLevelType w:val="hybridMultilevel"/>
    <w:tmpl w:val="AC3E7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D91AB1"/>
    <w:multiLevelType w:val="hybridMultilevel"/>
    <w:tmpl w:val="63843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A209BA"/>
    <w:multiLevelType w:val="hybridMultilevel"/>
    <w:tmpl w:val="CDAAB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04429C"/>
    <w:multiLevelType w:val="hybridMultilevel"/>
    <w:tmpl w:val="40706942"/>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7EB360EF"/>
    <w:multiLevelType w:val="hybridMultilevel"/>
    <w:tmpl w:val="CEB23A4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1"/>
  </w:num>
  <w:num w:numId="2">
    <w:abstractNumId w:val="26"/>
  </w:num>
  <w:num w:numId="3">
    <w:abstractNumId w:val="5"/>
  </w:num>
  <w:num w:numId="4">
    <w:abstractNumId w:val="19"/>
  </w:num>
  <w:num w:numId="5">
    <w:abstractNumId w:val="1"/>
  </w:num>
  <w:num w:numId="6">
    <w:abstractNumId w:val="18"/>
  </w:num>
  <w:num w:numId="7">
    <w:abstractNumId w:val="32"/>
  </w:num>
  <w:num w:numId="8">
    <w:abstractNumId w:val="12"/>
  </w:num>
  <w:num w:numId="9">
    <w:abstractNumId w:val="35"/>
  </w:num>
  <w:num w:numId="10">
    <w:abstractNumId w:val="27"/>
  </w:num>
  <w:num w:numId="11">
    <w:abstractNumId w:val="25"/>
  </w:num>
  <w:num w:numId="12">
    <w:abstractNumId w:val="30"/>
  </w:num>
  <w:num w:numId="13">
    <w:abstractNumId w:val="22"/>
  </w:num>
  <w:num w:numId="14">
    <w:abstractNumId w:val="10"/>
  </w:num>
  <w:num w:numId="15">
    <w:abstractNumId w:val="23"/>
  </w:num>
  <w:num w:numId="16">
    <w:abstractNumId w:val="7"/>
  </w:num>
  <w:num w:numId="17">
    <w:abstractNumId w:val="34"/>
  </w:num>
  <w:num w:numId="18">
    <w:abstractNumId w:val="31"/>
  </w:num>
  <w:num w:numId="19">
    <w:abstractNumId w:val="17"/>
  </w:num>
  <w:num w:numId="20">
    <w:abstractNumId w:val="16"/>
  </w:num>
  <w:num w:numId="21">
    <w:abstractNumId w:val="0"/>
  </w:num>
  <w:num w:numId="22">
    <w:abstractNumId w:val="8"/>
  </w:num>
  <w:num w:numId="23">
    <w:abstractNumId w:val="28"/>
  </w:num>
  <w:num w:numId="24">
    <w:abstractNumId w:val="13"/>
  </w:num>
  <w:num w:numId="25">
    <w:abstractNumId w:val="33"/>
  </w:num>
  <w:num w:numId="26">
    <w:abstractNumId w:val="2"/>
  </w:num>
  <w:num w:numId="27">
    <w:abstractNumId w:val="21"/>
  </w:num>
  <w:num w:numId="28">
    <w:abstractNumId w:val="9"/>
  </w:num>
  <w:num w:numId="29">
    <w:abstractNumId w:val="20"/>
  </w:num>
  <w:num w:numId="30">
    <w:abstractNumId w:val="6"/>
  </w:num>
  <w:num w:numId="31">
    <w:abstractNumId w:val="29"/>
  </w:num>
  <w:num w:numId="32">
    <w:abstractNumId w:val="3"/>
  </w:num>
  <w:num w:numId="33">
    <w:abstractNumId w:val="4"/>
  </w:num>
  <w:num w:numId="34">
    <w:abstractNumId w:val="24"/>
  </w:num>
  <w:num w:numId="35">
    <w:abstractNumId w:val="15"/>
  </w:num>
  <w:num w:numId="36">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24BA9"/>
    <w:rsid w:val="000255AB"/>
    <w:rsid w:val="000308BA"/>
    <w:rsid w:val="0003708A"/>
    <w:rsid w:val="00043A35"/>
    <w:rsid w:val="000550DA"/>
    <w:rsid w:val="00064C4F"/>
    <w:rsid w:val="00071F7F"/>
    <w:rsid w:val="000839EC"/>
    <w:rsid w:val="00085DFA"/>
    <w:rsid w:val="000A62BF"/>
    <w:rsid w:val="000A715F"/>
    <w:rsid w:val="000B123E"/>
    <w:rsid w:val="000B4B97"/>
    <w:rsid w:val="000C57F2"/>
    <w:rsid w:val="000E6F36"/>
    <w:rsid w:val="000E76CE"/>
    <w:rsid w:val="000F4876"/>
    <w:rsid w:val="000F57ED"/>
    <w:rsid w:val="00100FB5"/>
    <w:rsid w:val="001240D7"/>
    <w:rsid w:val="00126393"/>
    <w:rsid w:val="00133683"/>
    <w:rsid w:val="001377C2"/>
    <w:rsid w:val="00141DE3"/>
    <w:rsid w:val="001452CF"/>
    <w:rsid w:val="00147945"/>
    <w:rsid w:val="0015090D"/>
    <w:rsid w:val="0017435B"/>
    <w:rsid w:val="00192DC9"/>
    <w:rsid w:val="001B6563"/>
    <w:rsid w:val="001C08CD"/>
    <w:rsid w:val="001C24C7"/>
    <w:rsid w:val="001D4D44"/>
    <w:rsid w:val="001F5FEF"/>
    <w:rsid w:val="00204340"/>
    <w:rsid w:val="00217A38"/>
    <w:rsid w:val="00223ADB"/>
    <w:rsid w:val="00243BF3"/>
    <w:rsid w:val="00245123"/>
    <w:rsid w:val="00252C72"/>
    <w:rsid w:val="00264706"/>
    <w:rsid w:val="00273F09"/>
    <w:rsid w:val="0028288C"/>
    <w:rsid w:val="002846C6"/>
    <w:rsid w:val="002872CD"/>
    <w:rsid w:val="002959FB"/>
    <w:rsid w:val="00296E92"/>
    <w:rsid w:val="002A4E0D"/>
    <w:rsid w:val="002A6ADD"/>
    <w:rsid w:val="002A73FE"/>
    <w:rsid w:val="002B0B6E"/>
    <w:rsid w:val="002B57BD"/>
    <w:rsid w:val="002D21B4"/>
    <w:rsid w:val="002D693C"/>
    <w:rsid w:val="002E75E0"/>
    <w:rsid w:val="002F16A1"/>
    <w:rsid w:val="002F1E2B"/>
    <w:rsid w:val="003064F0"/>
    <w:rsid w:val="003112CA"/>
    <w:rsid w:val="00325BA7"/>
    <w:rsid w:val="0034557F"/>
    <w:rsid w:val="003521DA"/>
    <w:rsid w:val="00354353"/>
    <w:rsid w:val="00354CD3"/>
    <w:rsid w:val="003570B7"/>
    <w:rsid w:val="00364657"/>
    <w:rsid w:val="0036591B"/>
    <w:rsid w:val="00366C0F"/>
    <w:rsid w:val="00371200"/>
    <w:rsid w:val="00374351"/>
    <w:rsid w:val="00374EF6"/>
    <w:rsid w:val="003A0437"/>
    <w:rsid w:val="003B06C1"/>
    <w:rsid w:val="003D35DF"/>
    <w:rsid w:val="003D5CA5"/>
    <w:rsid w:val="003F1BCC"/>
    <w:rsid w:val="003F33A6"/>
    <w:rsid w:val="003F7450"/>
    <w:rsid w:val="00424B7D"/>
    <w:rsid w:val="00433C92"/>
    <w:rsid w:val="0044676A"/>
    <w:rsid w:val="00452D25"/>
    <w:rsid w:val="00455D9C"/>
    <w:rsid w:val="004831CD"/>
    <w:rsid w:val="004A4AAA"/>
    <w:rsid w:val="004B061D"/>
    <w:rsid w:val="004B4E69"/>
    <w:rsid w:val="004C21F8"/>
    <w:rsid w:val="004D7DCD"/>
    <w:rsid w:val="004E29A2"/>
    <w:rsid w:val="004E2FEF"/>
    <w:rsid w:val="004F213A"/>
    <w:rsid w:val="004F2DF1"/>
    <w:rsid w:val="00504DF0"/>
    <w:rsid w:val="00522837"/>
    <w:rsid w:val="005335FA"/>
    <w:rsid w:val="00536B98"/>
    <w:rsid w:val="005460F8"/>
    <w:rsid w:val="00547CFB"/>
    <w:rsid w:val="00550985"/>
    <w:rsid w:val="005513A2"/>
    <w:rsid w:val="0055729B"/>
    <w:rsid w:val="00566421"/>
    <w:rsid w:val="0057016C"/>
    <w:rsid w:val="00583A28"/>
    <w:rsid w:val="005A35F4"/>
    <w:rsid w:val="005A5D29"/>
    <w:rsid w:val="005B2BBF"/>
    <w:rsid w:val="005C0A79"/>
    <w:rsid w:val="005C0AAC"/>
    <w:rsid w:val="005C3A4F"/>
    <w:rsid w:val="005D1468"/>
    <w:rsid w:val="005E6ECD"/>
    <w:rsid w:val="00605922"/>
    <w:rsid w:val="00612BA5"/>
    <w:rsid w:val="006164EB"/>
    <w:rsid w:val="00621515"/>
    <w:rsid w:val="00626B34"/>
    <w:rsid w:val="0064024E"/>
    <w:rsid w:val="00640A51"/>
    <w:rsid w:val="00646C64"/>
    <w:rsid w:val="0065532F"/>
    <w:rsid w:val="00661BFB"/>
    <w:rsid w:val="006670D6"/>
    <w:rsid w:val="00672476"/>
    <w:rsid w:val="0067498E"/>
    <w:rsid w:val="00684891"/>
    <w:rsid w:val="00692984"/>
    <w:rsid w:val="006B09BA"/>
    <w:rsid w:val="006B257F"/>
    <w:rsid w:val="006C27DA"/>
    <w:rsid w:val="006C380F"/>
    <w:rsid w:val="006C4F5A"/>
    <w:rsid w:val="006E1CCB"/>
    <w:rsid w:val="006F32DC"/>
    <w:rsid w:val="006F52DC"/>
    <w:rsid w:val="00713CA2"/>
    <w:rsid w:val="00722CE6"/>
    <w:rsid w:val="00731DF1"/>
    <w:rsid w:val="00734C73"/>
    <w:rsid w:val="0074232F"/>
    <w:rsid w:val="00743843"/>
    <w:rsid w:val="007449C0"/>
    <w:rsid w:val="00745E13"/>
    <w:rsid w:val="00755027"/>
    <w:rsid w:val="00765F85"/>
    <w:rsid w:val="0076667E"/>
    <w:rsid w:val="00766E6D"/>
    <w:rsid w:val="00776098"/>
    <w:rsid w:val="00777B35"/>
    <w:rsid w:val="00781F9A"/>
    <w:rsid w:val="00791A52"/>
    <w:rsid w:val="00792B05"/>
    <w:rsid w:val="00796B63"/>
    <w:rsid w:val="00797516"/>
    <w:rsid w:val="007A3D7B"/>
    <w:rsid w:val="007A5979"/>
    <w:rsid w:val="007B2083"/>
    <w:rsid w:val="007B403B"/>
    <w:rsid w:val="007C614C"/>
    <w:rsid w:val="007D28E5"/>
    <w:rsid w:val="007D5BAC"/>
    <w:rsid w:val="007D7FE6"/>
    <w:rsid w:val="007E68F1"/>
    <w:rsid w:val="007F0459"/>
    <w:rsid w:val="007F3F9D"/>
    <w:rsid w:val="00815ADC"/>
    <w:rsid w:val="0082347A"/>
    <w:rsid w:val="00825859"/>
    <w:rsid w:val="00825F08"/>
    <w:rsid w:val="00842A16"/>
    <w:rsid w:val="00852732"/>
    <w:rsid w:val="00853BC6"/>
    <w:rsid w:val="0086156B"/>
    <w:rsid w:val="0088002F"/>
    <w:rsid w:val="008878CB"/>
    <w:rsid w:val="008B3F3F"/>
    <w:rsid w:val="008B7291"/>
    <w:rsid w:val="008E2084"/>
    <w:rsid w:val="008E4D67"/>
    <w:rsid w:val="008F11DE"/>
    <w:rsid w:val="008F7158"/>
    <w:rsid w:val="00907CEA"/>
    <w:rsid w:val="00921481"/>
    <w:rsid w:val="00932D39"/>
    <w:rsid w:val="00950AA3"/>
    <w:rsid w:val="00951471"/>
    <w:rsid w:val="009537C7"/>
    <w:rsid w:val="00963E71"/>
    <w:rsid w:val="009B2D8C"/>
    <w:rsid w:val="009B63C5"/>
    <w:rsid w:val="009C4955"/>
    <w:rsid w:val="009F2EF0"/>
    <w:rsid w:val="009F646F"/>
    <w:rsid w:val="00A076CC"/>
    <w:rsid w:val="00A126FA"/>
    <w:rsid w:val="00A12E47"/>
    <w:rsid w:val="00A17413"/>
    <w:rsid w:val="00A3225E"/>
    <w:rsid w:val="00A34BC0"/>
    <w:rsid w:val="00A67511"/>
    <w:rsid w:val="00A8244F"/>
    <w:rsid w:val="00AB15DE"/>
    <w:rsid w:val="00AC01D6"/>
    <w:rsid w:val="00AD00F6"/>
    <w:rsid w:val="00AE3A03"/>
    <w:rsid w:val="00AE789C"/>
    <w:rsid w:val="00AE7E2D"/>
    <w:rsid w:val="00AF1652"/>
    <w:rsid w:val="00B1291D"/>
    <w:rsid w:val="00B148D4"/>
    <w:rsid w:val="00B33BB6"/>
    <w:rsid w:val="00B34036"/>
    <w:rsid w:val="00B418F2"/>
    <w:rsid w:val="00B4639F"/>
    <w:rsid w:val="00B50D02"/>
    <w:rsid w:val="00B50FDE"/>
    <w:rsid w:val="00B56D76"/>
    <w:rsid w:val="00B624CB"/>
    <w:rsid w:val="00B72E17"/>
    <w:rsid w:val="00B74B9D"/>
    <w:rsid w:val="00B768A9"/>
    <w:rsid w:val="00B81C3D"/>
    <w:rsid w:val="00B8338D"/>
    <w:rsid w:val="00B918DD"/>
    <w:rsid w:val="00BB2B64"/>
    <w:rsid w:val="00BB2CA8"/>
    <w:rsid w:val="00BC173E"/>
    <w:rsid w:val="00BC22A4"/>
    <w:rsid w:val="00BC4416"/>
    <w:rsid w:val="00BC4A74"/>
    <w:rsid w:val="00BF10F2"/>
    <w:rsid w:val="00C250FC"/>
    <w:rsid w:val="00C30F68"/>
    <w:rsid w:val="00C45C1F"/>
    <w:rsid w:val="00C5295D"/>
    <w:rsid w:val="00C57C5D"/>
    <w:rsid w:val="00C7534B"/>
    <w:rsid w:val="00C93AE2"/>
    <w:rsid w:val="00CC16E3"/>
    <w:rsid w:val="00CC781C"/>
    <w:rsid w:val="00CD051B"/>
    <w:rsid w:val="00CD2639"/>
    <w:rsid w:val="00CD4074"/>
    <w:rsid w:val="00CE1FBB"/>
    <w:rsid w:val="00CE2E5D"/>
    <w:rsid w:val="00CF033C"/>
    <w:rsid w:val="00D12C95"/>
    <w:rsid w:val="00D16EEF"/>
    <w:rsid w:val="00D20DC6"/>
    <w:rsid w:val="00D25F7D"/>
    <w:rsid w:val="00D32E7D"/>
    <w:rsid w:val="00D43F2D"/>
    <w:rsid w:val="00D71AB1"/>
    <w:rsid w:val="00D72369"/>
    <w:rsid w:val="00D764A5"/>
    <w:rsid w:val="00D82667"/>
    <w:rsid w:val="00D86CC6"/>
    <w:rsid w:val="00D97F34"/>
    <w:rsid w:val="00DB2DF2"/>
    <w:rsid w:val="00DB501E"/>
    <w:rsid w:val="00DD6004"/>
    <w:rsid w:val="00DE1CB5"/>
    <w:rsid w:val="00E05200"/>
    <w:rsid w:val="00E152E7"/>
    <w:rsid w:val="00E341CB"/>
    <w:rsid w:val="00E66010"/>
    <w:rsid w:val="00E80607"/>
    <w:rsid w:val="00E85529"/>
    <w:rsid w:val="00E97670"/>
    <w:rsid w:val="00EA0E8A"/>
    <w:rsid w:val="00EA758D"/>
    <w:rsid w:val="00EB112D"/>
    <w:rsid w:val="00EB156D"/>
    <w:rsid w:val="00EB3A9D"/>
    <w:rsid w:val="00EC0B0D"/>
    <w:rsid w:val="00EC1984"/>
    <w:rsid w:val="00EC63AD"/>
    <w:rsid w:val="00F11C7E"/>
    <w:rsid w:val="00F136AA"/>
    <w:rsid w:val="00F23177"/>
    <w:rsid w:val="00F26E96"/>
    <w:rsid w:val="00F34515"/>
    <w:rsid w:val="00F52B67"/>
    <w:rsid w:val="00F767B6"/>
    <w:rsid w:val="00F97CED"/>
    <w:rsid w:val="00FA1DA9"/>
    <w:rsid w:val="00FA7AFA"/>
    <w:rsid w:val="00FB4C1D"/>
    <w:rsid w:val="00FB6D00"/>
    <w:rsid w:val="00FC5E9E"/>
    <w:rsid w:val="00FD400A"/>
    <w:rsid w:val="00FD7A78"/>
    <w:rsid w:val="00FE4BC6"/>
    <w:rsid w:val="00FE6A6B"/>
    <w:rsid w:val="00FE7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5EC0F"/>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3"/>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eastAsia="Times New Roman"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semiHidden/>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customStyle="1" w:styleId="Mentionnonrsolue3">
    <w:name w:val="Mention non résolue3"/>
    <w:basedOn w:val="Policepardfaut"/>
    <w:uiPriority w:val="99"/>
    <w:semiHidden/>
    <w:unhideWhenUsed/>
    <w:rsid w:val="009F646F"/>
    <w:rPr>
      <w:color w:val="605E5C"/>
      <w:shd w:val="clear" w:color="auto" w:fill="E1DFDD"/>
    </w:rPr>
  </w:style>
  <w:style w:type="paragraph" w:customStyle="1" w:styleId="Style1">
    <w:name w:val="Style1"/>
    <w:basedOn w:val="Paragraphedeliste"/>
    <w:link w:val="Style1Car"/>
    <w:qFormat/>
    <w:rsid w:val="00E341CB"/>
    <w:pPr>
      <w:numPr>
        <w:numId w:val="8"/>
      </w:numPr>
      <w:pBdr>
        <w:top w:val="nil"/>
        <w:left w:val="nil"/>
        <w:bottom w:val="nil"/>
        <w:right w:val="nil"/>
        <w:between w:val="nil"/>
      </w:pBdr>
      <w:tabs>
        <w:tab w:val="left" w:pos="1307"/>
      </w:tabs>
      <w:jc w:val="both"/>
    </w:pPr>
    <w:rPr>
      <w:b/>
      <w:bCs/>
      <w:i/>
      <w:iCs/>
      <w:color w:val="8064A2" w:themeColor="accent4"/>
      <w:sz w:val="24"/>
      <w:szCs w:val="24"/>
    </w:rPr>
  </w:style>
  <w:style w:type="character" w:customStyle="1" w:styleId="Style1Car">
    <w:name w:val="Style1 Car"/>
    <w:basedOn w:val="Policepardfaut"/>
    <w:link w:val="Style1"/>
    <w:rsid w:val="00E341CB"/>
    <w:rPr>
      <w:b/>
      <w:bCs/>
      <w:i/>
      <w:iCs/>
      <w:color w:val="8064A2" w:themeColor="accent4"/>
      <w:sz w:val="24"/>
      <w:szCs w:val="24"/>
    </w:rPr>
  </w:style>
  <w:style w:type="table" w:styleId="TableauGrille5Fonc-Accentuation4">
    <w:name w:val="Grid Table 5 Dark Accent 4"/>
    <w:basedOn w:val="TableauNormal"/>
    <w:uiPriority w:val="50"/>
    <w:rsid w:val="000B123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137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5418">
      <w:bodyDiv w:val="1"/>
      <w:marLeft w:val="0"/>
      <w:marRight w:val="0"/>
      <w:marTop w:val="0"/>
      <w:marBottom w:val="0"/>
      <w:divBdr>
        <w:top w:val="none" w:sz="0" w:space="0" w:color="auto"/>
        <w:left w:val="none" w:sz="0" w:space="0" w:color="auto"/>
        <w:bottom w:val="none" w:sz="0" w:space="0" w:color="auto"/>
        <w:right w:val="none" w:sz="0" w:space="0" w:color="auto"/>
      </w:divBdr>
    </w:div>
    <w:div w:id="20593095">
      <w:bodyDiv w:val="1"/>
      <w:marLeft w:val="0"/>
      <w:marRight w:val="0"/>
      <w:marTop w:val="0"/>
      <w:marBottom w:val="0"/>
      <w:divBdr>
        <w:top w:val="none" w:sz="0" w:space="0" w:color="auto"/>
        <w:left w:val="none" w:sz="0" w:space="0" w:color="auto"/>
        <w:bottom w:val="none" w:sz="0" w:space="0" w:color="auto"/>
        <w:right w:val="none" w:sz="0" w:space="0" w:color="auto"/>
      </w:divBdr>
    </w:div>
    <w:div w:id="33967445">
      <w:bodyDiv w:val="1"/>
      <w:marLeft w:val="0"/>
      <w:marRight w:val="0"/>
      <w:marTop w:val="0"/>
      <w:marBottom w:val="0"/>
      <w:divBdr>
        <w:top w:val="none" w:sz="0" w:space="0" w:color="auto"/>
        <w:left w:val="none" w:sz="0" w:space="0" w:color="auto"/>
        <w:bottom w:val="none" w:sz="0" w:space="0" w:color="auto"/>
        <w:right w:val="none" w:sz="0" w:space="0" w:color="auto"/>
      </w:divBdr>
    </w:div>
    <w:div w:id="333264109">
      <w:bodyDiv w:val="1"/>
      <w:marLeft w:val="0"/>
      <w:marRight w:val="0"/>
      <w:marTop w:val="0"/>
      <w:marBottom w:val="0"/>
      <w:divBdr>
        <w:top w:val="none" w:sz="0" w:space="0" w:color="auto"/>
        <w:left w:val="none" w:sz="0" w:space="0" w:color="auto"/>
        <w:bottom w:val="none" w:sz="0" w:space="0" w:color="auto"/>
        <w:right w:val="none" w:sz="0" w:space="0" w:color="auto"/>
      </w:divBdr>
    </w:div>
    <w:div w:id="513039322">
      <w:bodyDiv w:val="1"/>
      <w:marLeft w:val="0"/>
      <w:marRight w:val="0"/>
      <w:marTop w:val="0"/>
      <w:marBottom w:val="0"/>
      <w:divBdr>
        <w:top w:val="none" w:sz="0" w:space="0" w:color="auto"/>
        <w:left w:val="none" w:sz="0" w:space="0" w:color="auto"/>
        <w:bottom w:val="none" w:sz="0" w:space="0" w:color="auto"/>
        <w:right w:val="none" w:sz="0" w:space="0" w:color="auto"/>
      </w:divBdr>
    </w:div>
    <w:div w:id="624704337">
      <w:bodyDiv w:val="1"/>
      <w:marLeft w:val="0"/>
      <w:marRight w:val="0"/>
      <w:marTop w:val="0"/>
      <w:marBottom w:val="0"/>
      <w:divBdr>
        <w:top w:val="none" w:sz="0" w:space="0" w:color="auto"/>
        <w:left w:val="none" w:sz="0" w:space="0" w:color="auto"/>
        <w:bottom w:val="none" w:sz="0" w:space="0" w:color="auto"/>
        <w:right w:val="none" w:sz="0" w:space="0" w:color="auto"/>
      </w:divBdr>
    </w:div>
    <w:div w:id="817653918">
      <w:bodyDiv w:val="1"/>
      <w:marLeft w:val="0"/>
      <w:marRight w:val="0"/>
      <w:marTop w:val="0"/>
      <w:marBottom w:val="0"/>
      <w:divBdr>
        <w:top w:val="none" w:sz="0" w:space="0" w:color="auto"/>
        <w:left w:val="none" w:sz="0" w:space="0" w:color="auto"/>
        <w:bottom w:val="none" w:sz="0" w:space="0" w:color="auto"/>
        <w:right w:val="none" w:sz="0" w:space="0" w:color="auto"/>
      </w:divBdr>
    </w:div>
    <w:div w:id="999041427">
      <w:bodyDiv w:val="1"/>
      <w:marLeft w:val="0"/>
      <w:marRight w:val="0"/>
      <w:marTop w:val="0"/>
      <w:marBottom w:val="0"/>
      <w:divBdr>
        <w:top w:val="none" w:sz="0" w:space="0" w:color="auto"/>
        <w:left w:val="none" w:sz="0" w:space="0" w:color="auto"/>
        <w:bottom w:val="none" w:sz="0" w:space="0" w:color="auto"/>
        <w:right w:val="none" w:sz="0" w:space="0" w:color="auto"/>
      </w:divBdr>
    </w:div>
    <w:div w:id="1034305245">
      <w:bodyDiv w:val="1"/>
      <w:marLeft w:val="0"/>
      <w:marRight w:val="0"/>
      <w:marTop w:val="0"/>
      <w:marBottom w:val="0"/>
      <w:divBdr>
        <w:top w:val="none" w:sz="0" w:space="0" w:color="auto"/>
        <w:left w:val="none" w:sz="0" w:space="0" w:color="auto"/>
        <w:bottom w:val="none" w:sz="0" w:space="0" w:color="auto"/>
        <w:right w:val="none" w:sz="0" w:space="0" w:color="auto"/>
      </w:divBdr>
    </w:div>
    <w:div w:id="1199777119">
      <w:bodyDiv w:val="1"/>
      <w:marLeft w:val="0"/>
      <w:marRight w:val="0"/>
      <w:marTop w:val="0"/>
      <w:marBottom w:val="0"/>
      <w:divBdr>
        <w:top w:val="none" w:sz="0" w:space="0" w:color="auto"/>
        <w:left w:val="none" w:sz="0" w:space="0" w:color="auto"/>
        <w:bottom w:val="none" w:sz="0" w:space="0" w:color="auto"/>
        <w:right w:val="none" w:sz="0" w:space="0" w:color="auto"/>
      </w:divBdr>
    </w:div>
    <w:div w:id="1217736281">
      <w:bodyDiv w:val="1"/>
      <w:marLeft w:val="0"/>
      <w:marRight w:val="0"/>
      <w:marTop w:val="0"/>
      <w:marBottom w:val="0"/>
      <w:divBdr>
        <w:top w:val="none" w:sz="0" w:space="0" w:color="auto"/>
        <w:left w:val="none" w:sz="0" w:space="0" w:color="auto"/>
        <w:bottom w:val="none" w:sz="0" w:space="0" w:color="auto"/>
        <w:right w:val="none" w:sz="0" w:space="0" w:color="auto"/>
      </w:divBdr>
    </w:div>
    <w:div w:id="1775392799">
      <w:bodyDiv w:val="1"/>
      <w:marLeft w:val="0"/>
      <w:marRight w:val="0"/>
      <w:marTop w:val="0"/>
      <w:marBottom w:val="0"/>
      <w:divBdr>
        <w:top w:val="none" w:sz="0" w:space="0" w:color="auto"/>
        <w:left w:val="none" w:sz="0" w:space="0" w:color="auto"/>
        <w:bottom w:val="none" w:sz="0" w:space="0" w:color="auto"/>
        <w:right w:val="none" w:sz="0" w:space="0" w:color="auto"/>
      </w:divBdr>
    </w:div>
    <w:div w:id="1830171839">
      <w:bodyDiv w:val="1"/>
      <w:marLeft w:val="0"/>
      <w:marRight w:val="0"/>
      <w:marTop w:val="0"/>
      <w:marBottom w:val="0"/>
      <w:divBdr>
        <w:top w:val="none" w:sz="0" w:space="0" w:color="auto"/>
        <w:left w:val="none" w:sz="0" w:space="0" w:color="auto"/>
        <w:bottom w:val="none" w:sz="0" w:space="0" w:color="auto"/>
        <w:right w:val="none" w:sz="0" w:space="0" w:color="auto"/>
      </w:divBdr>
    </w:div>
    <w:div w:id="1935237778">
      <w:bodyDiv w:val="1"/>
      <w:marLeft w:val="0"/>
      <w:marRight w:val="0"/>
      <w:marTop w:val="0"/>
      <w:marBottom w:val="0"/>
      <w:divBdr>
        <w:top w:val="none" w:sz="0" w:space="0" w:color="auto"/>
        <w:left w:val="none" w:sz="0" w:space="0" w:color="auto"/>
        <w:bottom w:val="none" w:sz="0" w:space="0" w:color="auto"/>
        <w:right w:val="none" w:sz="0" w:space="0" w:color="auto"/>
      </w:divBdr>
    </w:div>
    <w:div w:id="2115903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www.eib.org/fr/products/equity/infra-environment-funds/index.htm" TargetMode="External"/><Relationship Id="rId21" Type="http://schemas.openxmlformats.org/officeDocument/2006/relationships/hyperlink" Target="https://www.fi-compass.eu/" TargetMode="External"/><Relationship Id="rId42" Type="http://schemas.openxmlformats.org/officeDocument/2006/relationships/hyperlink" Target="https://www.ecbf.vc/team" TargetMode="External"/><Relationship Id="rId47" Type="http://schemas.openxmlformats.org/officeDocument/2006/relationships/hyperlink" Target="https://ec.europa.eu/transport/infrastructure/tentec/tentec-portal/map/maps.html" TargetMode="External"/><Relationship Id="rId63" Type="http://schemas.openxmlformats.org/officeDocument/2006/relationships/hyperlink" Target="https://jaspers.eib.org/tools/resources/pdf/publications/JASPERS%202021%20information%20brochure%20/JASPERS_2021_informationbrochure%20_en.pdf" TargetMode="External"/><Relationship Id="rId68" Type="http://schemas.openxmlformats.org/officeDocument/2006/relationships/hyperlink" Target="https://eiah.eib.org/about/initiative-urbis.htm" TargetMode="External"/><Relationship Id="rId16" Type="http://schemas.openxmlformats.org/officeDocument/2006/relationships/hyperlink" Target="https://www.eib.org/fr/products/loans/framework-public-sector.htm" TargetMode="External"/><Relationship Id="rId11" Type="http://schemas.openxmlformats.org/officeDocument/2006/relationships/hyperlink" Target="https://europa.eu/investeu/investeu-advisory-hub/about-investeu-advisory-hub_fr" TargetMode="External"/><Relationship Id="rId32" Type="http://schemas.openxmlformats.org/officeDocument/2006/relationships/hyperlink" Target="https://www.eib.org/fr/products/loans/intermediated-loans.htm" TargetMode="External"/><Relationship Id="rId37" Type="http://schemas.openxmlformats.org/officeDocument/2006/relationships/hyperlink" Target="https://www.eif.org/what_we_do/where/index.htm" TargetMode="External"/><Relationship Id="rId53" Type="http://schemas.openxmlformats.org/officeDocument/2006/relationships/hyperlink" Target="https://www.eib.org/attachments/cef-final-recipients-2020.pdf" TargetMode="External"/><Relationship Id="rId58" Type="http://schemas.openxmlformats.org/officeDocument/2006/relationships/hyperlink" Target="https://www.eib.org/attachments/documents/innovfin-energy-demo-projects-eligibility-questionnaire-en.pdf" TargetMode="External"/><Relationship Id="rId74" Type="http://schemas.openxmlformats.org/officeDocument/2006/relationships/hyperlink" Target="https://www.eib.org/intermediarieslist/search/result?country=FR" TargetMode="External"/><Relationship Id="rId79" Type="http://schemas.openxmlformats.org/officeDocument/2006/relationships/footer" Target="footer2.xml"/><Relationship Id="rId5" Type="http://schemas.openxmlformats.org/officeDocument/2006/relationships/settings" Target="settings.xml"/><Relationship Id="rId61" Type="http://schemas.openxmlformats.org/officeDocument/2006/relationships/hyperlink" Target="https://europa.eu/investeu/investeu-advisory-hub/about-investeu-advisory-hub_fr" TargetMode="External"/><Relationship Id="rId19" Type="http://schemas.openxmlformats.org/officeDocument/2006/relationships/hyperlink" Target="https://www.eib.org/fr/products/loans/framework-public-sector.htm" TargetMode="External"/><Relationship Id="rId14" Type="http://schemas.openxmlformats.org/officeDocument/2006/relationships/hyperlink" Target="https://www.iledefranceenergies.fr/" TargetMode="External"/><Relationship Id="rId22" Type="http://schemas.openxmlformats.org/officeDocument/2006/relationships/hyperlink" Target="https://www.eib.org/fr/products/loans/public-sector.htm" TargetMode="External"/><Relationship Id="rId27" Type="http://schemas.openxmlformats.org/officeDocument/2006/relationships/hyperlink" Target="https://www.eib.org/fr/infocentre/contact/offices/ue/france.htm" TargetMode="External"/><Relationship Id="rId30" Type="http://schemas.openxmlformats.org/officeDocument/2006/relationships/hyperlink" Target="https://www.eib.org/fr/infocentre/contact/offices/ue/france.htm" TargetMode="External"/><Relationship Id="rId35" Type="http://schemas.openxmlformats.org/officeDocument/2006/relationships/hyperlink" Target="https://www.eif.org/what_we_do/equity/deals/index_.htm" TargetMode="External"/><Relationship Id="rId43" Type="http://schemas.openxmlformats.org/officeDocument/2006/relationships/hyperlink" Target="https://cinea.ec.europa.eu/connecting-europe-facility/about-connecting-europe-facility_fr" TargetMode="External"/><Relationship Id="rId48" Type="http://schemas.openxmlformats.org/officeDocument/2006/relationships/hyperlink" Target="https://ec.europa.eu/energy/topics/infrastructure/projects-common-interest_en?redir=1" TargetMode="External"/><Relationship Id="rId56" Type="http://schemas.openxmlformats.org/officeDocument/2006/relationships/hyperlink" Target="https://www.eib.org/img/blending/innovfin/innovfin_table_fr.jpg" TargetMode="External"/><Relationship Id="rId64" Type="http://schemas.openxmlformats.org/officeDocument/2006/relationships/hyperlink" Target="https://jaspers.eib.org/get-in-touch/index.htm" TargetMode="External"/><Relationship Id="rId69" Type="http://schemas.openxmlformats.org/officeDocument/2006/relationships/hyperlink" Target="mailto:elena@eib.org" TargetMode="External"/><Relationship Id="rId77"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s://www.eib.org/fr/infocentre/contact/index.htm" TargetMode="External"/><Relationship Id="rId72" Type="http://schemas.openxmlformats.org/officeDocument/2006/relationships/hyperlink" Target="https://www.eib.org/attachments/documents/elena_faq_fr.pdf" TargetMode="External"/><Relationship Id="rId80"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www.eib.org/fr/products/index.htm" TargetMode="External"/><Relationship Id="rId17" Type="http://schemas.openxmlformats.org/officeDocument/2006/relationships/hyperlink" Target="https://www.eib.org/fr/infocentre/contact/offices/ue/france.htm" TargetMode="External"/><Relationship Id="rId25" Type="http://schemas.openxmlformats.org/officeDocument/2006/relationships/hyperlink" Target="https://www.ginkgo-advisor.com/fr" TargetMode="External"/><Relationship Id="rId33" Type="http://schemas.openxmlformats.org/officeDocument/2006/relationships/hyperlink" Target="https://www.eif.org/" TargetMode="External"/><Relationship Id="rId38" Type="http://schemas.openxmlformats.org/officeDocument/2006/relationships/hyperlink" Target="https://www.eif.org/what_we_do/where/fr/index.htm" TargetMode="External"/><Relationship Id="rId46" Type="http://schemas.openxmlformats.org/officeDocument/2006/relationships/hyperlink" Target="https://ec.europa.eu/transport/modes/air/sesar_en" TargetMode="External"/><Relationship Id="rId59" Type="http://schemas.openxmlformats.org/officeDocument/2006/relationships/hyperlink" Target="mailto:innovfinEDP@eib.org" TargetMode="External"/><Relationship Id="rId67" Type="http://schemas.openxmlformats.org/officeDocument/2006/relationships/hyperlink" Target="https://eiah.eib.org/find-support/urbis-request-form.htm" TargetMode="External"/><Relationship Id="rId20" Type="http://schemas.openxmlformats.org/officeDocument/2006/relationships/hyperlink" Target="https://www.eib.org/fr/infocentre/contact/offices/ue/france.htm" TargetMode="External"/><Relationship Id="rId41" Type="http://schemas.openxmlformats.org/officeDocument/2006/relationships/hyperlink" Target="https://www.ecbf.vc/" TargetMode="External"/><Relationship Id="rId54" Type="http://schemas.openxmlformats.org/officeDocument/2006/relationships/hyperlink" Target="https://www.eib.org/fr/infocentre/contact/offices/ue/france.htm" TargetMode="External"/><Relationship Id="rId62" Type="http://schemas.openxmlformats.org/officeDocument/2006/relationships/hyperlink" Target="https://jaspers.eib.org/" TargetMode="External"/><Relationship Id="rId70" Type="http://schemas.openxmlformats.org/officeDocument/2006/relationships/hyperlink" Target="https://www.eib.org/fr/products/advising/elena/index.htm" TargetMode="External"/><Relationship Id="rId75" Type="http://schemas.openxmlformats.org/officeDocument/2006/relationships/hyperlink" Target="https://www.eib.org/fr/infocentre/contact/offices/ue/france.ht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contact@idf-energies.fr" TargetMode="External"/><Relationship Id="rId23" Type="http://schemas.openxmlformats.org/officeDocument/2006/relationships/hyperlink" Target="https://www.eib.org/fr/infocentre/contact/offices/ue/france.htm" TargetMode="External"/><Relationship Id="rId28" Type="http://schemas.openxmlformats.org/officeDocument/2006/relationships/hyperlink" Target="https://www.eib.org/fr/stories/electric-car-battery-technology" TargetMode="External"/><Relationship Id="rId36" Type="http://schemas.openxmlformats.org/officeDocument/2006/relationships/hyperlink" Target="https://www.eif.org/what_we_do/guarantees/index.htm" TargetMode="External"/><Relationship Id="rId49" Type="http://schemas.openxmlformats.org/officeDocument/2006/relationships/hyperlink" Target="https://www.eib.org/fr/infocentre/contact/index.htm" TargetMode="External"/><Relationship Id="rId57" Type="http://schemas.openxmlformats.org/officeDocument/2006/relationships/hyperlink" Target="https://www.eib.org/fr/products/mandates-partnerships/innovfin/products/energy-demo-projects.htm" TargetMode="External"/><Relationship Id="rId10" Type="http://schemas.openxmlformats.org/officeDocument/2006/relationships/hyperlink" Target="https://eiah.eib.org/" TargetMode="External"/><Relationship Id="rId31" Type="http://schemas.openxmlformats.org/officeDocument/2006/relationships/hyperlink" Target="https://www.eib.org/intermediarieslist/search/result?country=FR" TargetMode="External"/><Relationship Id="rId44" Type="http://schemas.openxmlformats.org/officeDocument/2006/relationships/hyperlink" Target="https://www.era.europa.eu/activities/european-rail-traffic-management-system-ertms_en" TargetMode="External"/><Relationship Id="rId52" Type="http://schemas.openxmlformats.org/officeDocument/2006/relationships/hyperlink" Target="mailto:futuremobility@eib.org" TargetMode="External"/><Relationship Id="rId60" Type="http://schemas.openxmlformats.org/officeDocument/2006/relationships/hyperlink" Target="https://eiah.eib.org/" TargetMode="External"/><Relationship Id="rId65" Type="http://schemas.openxmlformats.org/officeDocument/2006/relationships/hyperlink" Target="mailto:pasu@eib.org" TargetMode="External"/><Relationship Id="rId73" Type="http://schemas.openxmlformats.org/officeDocument/2006/relationships/hyperlink" Target="https://www.eib.org/fr/projects/cycle/procurement/index.htm" TargetMode="External"/><Relationship Id="rId78" Type="http://schemas.openxmlformats.org/officeDocument/2006/relationships/footer" Target="footer1.xml"/><Relationship Id="rId8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tiff"/><Relationship Id="rId13" Type="http://schemas.openxmlformats.org/officeDocument/2006/relationships/hyperlink" Target="https://www.eib.org/fr/infocentre/stories/all/2016-april-04/energy-efficiency-in-the-paris-region.htm" TargetMode="External"/><Relationship Id="rId18" Type="http://schemas.openxmlformats.org/officeDocument/2006/relationships/hyperlink" Target="https://www.eib.org/fr/press/all/2015-015-el-bei-concede-400-millones-de-eur-para-inversiones-clave-en-galicia" TargetMode="External"/><Relationship Id="rId39" Type="http://schemas.openxmlformats.org/officeDocument/2006/relationships/hyperlink" Target="https://www.horizon2020.gouv.fr/cid76866/liste-des-pays-associes-horizon-2020.html" TargetMode="External"/><Relationship Id="rId34" Type="http://schemas.openxmlformats.org/officeDocument/2006/relationships/hyperlink" Target="https://www.eif.org/what_we_do/equity/index.htm" TargetMode="External"/><Relationship Id="rId50" Type="http://schemas.openxmlformats.org/officeDocument/2006/relationships/hyperlink" Target="https://www.eib.org/fr/infocentre/contact/index.htm" TargetMode="External"/><Relationship Id="rId55" Type="http://schemas.openxmlformats.org/officeDocument/2006/relationships/hyperlink" Target="https://europa.eu/investeu/investeu-fund/about-investeu-fund_fr" TargetMode="External"/><Relationship Id="rId76" Type="http://schemas.openxmlformats.org/officeDocument/2006/relationships/hyperlink" Target="https://eiah.eib.org/find-support/index" TargetMode="External"/><Relationship Id="rId7" Type="http://schemas.openxmlformats.org/officeDocument/2006/relationships/footnotes" Target="footnotes.xml"/><Relationship Id="rId71" Type="http://schemas.openxmlformats.org/officeDocument/2006/relationships/hyperlink" Target="https://www.eib.org/fr/products/advising/elena/index.htm" TargetMode="External"/><Relationship Id="rId2" Type="http://schemas.openxmlformats.org/officeDocument/2006/relationships/customXml" Target="../customXml/item2.xml"/><Relationship Id="rId29" Type="http://schemas.openxmlformats.org/officeDocument/2006/relationships/hyperlink" Target="https://www.eib.org/fr/products/loans/private-sector.htm" TargetMode="External"/><Relationship Id="rId24" Type="http://schemas.openxmlformats.org/officeDocument/2006/relationships/hyperlink" Target="https://www.eib.org/fr/products/equity/funds/ginkgo_fund_ii" TargetMode="External"/><Relationship Id="rId40" Type="http://schemas.openxmlformats.org/officeDocument/2006/relationships/hyperlink" Target="https://www.ecbf.vc/portfolio" TargetMode="External"/><Relationship Id="rId45" Type="http://schemas.openxmlformats.org/officeDocument/2006/relationships/hyperlink" Target="https://ec.europa.eu/transport/themes/its_en" TargetMode="External"/><Relationship Id="rId66" Type="http://schemas.openxmlformats.org/officeDocument/2006/relationships/hyperlink" Target="mailto:innovfinadvisory@eib.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research/participants/data/ref/h2020/wp/2014_2015/annexes/h2020-wp1415-annex-g-trl_en.pdf" TargetMode="External"/><Relationship Id="rId2" Type="http://schemas.openxmlformats.org/officeDocument/2006/relationships/hyperlink" Target="https://www.legifrance.gouv.fr/loda/id/JORFTEXT000019961059/" TargetMode="External"/><Relationship Id="rId1" Type="http://schemas.openxmlformats.org/officeDocument/2006/relationships/hyperlink" Target="https://eur-lex.europa.eu/legal-content/FR/TXT/?uri=CELEX%3A32003H0361" TargetMode="External"/><Relationship Id="rId4" Type="http://schemas.openxmlformats.org/officeDocument/2006/relationships/hyperlink" Target="https://www.oecd.org/fr/publications/manuel-de-frascati-2015-9789264257252-fr.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4CEA6B91-DB14-45A8-B35B-9B556DB92EB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14</Pages>
  <Words>7074</Words>
  <Characters>38913</Characters>
  <Application>Microsoft Office Word</Application>
  <DocSecurity>0</DocSecurity>
  <Lines>324</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9</cp:revision>
  <dcterms:created xsi:type="dcterms:W3CDTF">2021-06-08T15:37:00Z</dcterms:created>
  <dcterms:modified xsi:type="dcterms:W3CDTF">2021-06-22T10:32:00Z</dcterms:modified>
</cp:coreProperties>
</file>